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r>
        <w:rPr>
          <w:rFonts w:hint="eastAsia"/>
          <w:b/>
          <w:bCs/>
          <w:sz w:val="44"/>
          <w:szCs w:val="44"/>
        </w:rPr>
        <w:t>关于《汉阳区四台村157.92亩片区土地征收成片开发方案》公开征求意见的公告</w:t>
      </w:r>
    </w:p>
    <w:p/>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为贯彻落实《中华人民共和国土地管理法》，根据《自然资源部关于印发土地征收成片开发标准（试行）的通知》（自然资规〔2020〕5号）、《省自然资源厅关于印发湖北省土地征收成片开发实施细则（试行）的通知》（鄂自然资规〔2021〕3号）</w:t>
      </w:r>
      <w:r>
        <w:rPr>
          <w:rFonts w:hint="eastAsia" w:ascii="Times New Roman" w:hAnsi="Times New Roman" w:eastAsia="仿宋_GB2312" w:cs="Times New Roman"/>
          <w:color w:val="000000" w:themeColor="text1"/>
          <w:sz w:val="32"/>
          <w:szCs w:val="32"/>
          <w14:textFill>
            <w14:solidFill>
              <w14:schemeClr w14:val="tx1"/>
            </w14:solidFill>
          </w14:textFill>
        </w:rPr>
        <w:t>等文件的精神，我区组织编制了《汉阳区四台村157.92亩片区土地征收成片开发方案》（征求意见稿），现将方案主要内容进行公示，公开征求公众意见。</w:t>
      </w:r>
    </w:p>
    <w:p>
      <w:pPr>
        <w:spacing w:line="54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此次公开征求意见时间为2022年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日—6月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日，在公示期间，欢迎社会各界和广大人民群众讨论并提出意见和建议，如有意见和建议可以信函或电子邮件的形式反馈至武汉市自然资源和规划局汉阳分局。</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联系人：陈工</w:t>
      </w:r>
      <w:bookmarkStart w:id="0" w:name="_GoBack"/>
      <w:bookmarkEnd w:id="0"/>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联系方式：18372009463</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意见反馈邮箱：whhycqgxj@163.com</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4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4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40" w:lineRule="exact"/>
        <w:jc w:val="righ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汉阳区人民政府</w:t>
      </w:r>
    </w:p>
    <w:p>
      <w:pPr>
        <w:spacing w:line="540" w:lineRule="exact"/>
        <w:jc w:val="righ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日</w:t>
      </w:r>
    </w:p>
    <w:p>
      <w:pP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br w:type="page"/>
      </w:r>
    </w:p>
    <w:p>
      <w:pPr>
        <w:widowControl/>
        <w:spacing w:line="600" w:lineRule="exact"/>
        <w:jc w:val="center"/>
        <w:rPr>
          <w:rFonts w:ascii="Times New Roman" w:hAnsi="Times New Roman" w:eastAsia="方正小标宋_GBK" w:cs="Times New Roman"/>
          <w:sz w:val="44"/>
          <w:szCs w:val="44"/>
        </w:rPr>
      </w:pPr>
    </w:p>
    <w:p>
      <w:pPr>
        <w:widowControl/>
        <w:spacing w:line="600" w:lineRule="exact"/>
        <w:jc w:val="center"/>
        <w:rPr>
          <w:rFonts w:ascii="Times New Roman" w:hAnsi="Times New Roman" w:eastAsia="方正小标宋_GBK" w:cs="Times New Roman"/>
          <w:sz w:val="44"/>
          <w:szCs w:val="44"/>
        </w:rPr>
      </w:pPr>
    </w:p>
    <w:p>
      <w:pPr>
        <w:widowControl/>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汉阳区四台村157.92亩片区</w:t>
      </w:r>
    </w:p>
    <w:p>
      <w:pPr>
        <w:widowControl/>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土地征收成片开发方案（征求意见稿）</w:t>
      </w:r>
    </w:p>
    <w:p>
      <w:pPr>
        <w:widowControl/>
        <w:spacing w:line="600" w:lineRule="exact"/>
        <w:jc w:val="center"/>
        <w:rPr>
          <w:rFonts w:ascii="Times New Roman" w:hAnsi="Times New Roman" w:eastAsia="方正小标宋_GBK" w:cs="Times New Roman"/>
          <w:sz w:val="44"/>
          <w:szCs w:val="44"/>
        </w:rPr>
      </w:pP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促进汉阳区经济社会发展和公共利益需要，根据《中华人民共和国土地管理法》、《自然资源部关于印发〈土地征收成片开发标准（试行）〉的通知》（自然资规〔2020〕5号）和《省自然资源厅关于印发湖北省土地征收成片开发实施细则（试行）的通知》（鄂自然资规〔2021〕3号）有关规定，汉阳区人民政府组织编制了汉阳区四台村157.92亩片区土地征收成片开发方案（以下简称“方案”）。方案内容如下：</w:t>
      </w:r>
    </w:p>
    <w:p>
      <w:pPr>
        <w:widowControl/>
        <w:shd w:val="clear" w:color="auto" w:fill="FFFFFF"/>
        <w:spacing w:line="315" w:lineRule="atLeast"/>
        <w:ind w:firstLine="640"/>
        <w:jc w:val="left"/>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一、</w:t>
      </w:r>
      <w:r>
        <w:rPr>
          <w:rFonts w:ascii="黑体" w:hAnsi="宋体" w:eastAsia="黑体" w:cs="黑体"/>
          <w:color w:val="000000"/>
          <w:kern w:val="0"/>
          <w:sz w:val="32"/>
          <w:szCs w:val="32"/>
          <w:shd w:val="clear" w:color="auto" w:fill="FFFFFF"/>
          <w:lang w:bidi="ar"/>
        </w:rPr>
        <w:t>成片开发基本情况</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本方案成片开发范围位于汉阳区永丰街四台村，总面积10.5278公顷，合计157.92亩</w:t>
      </w:r>
      <w:r>
        <w:rPr>
          <w:rFonts w:hint="eastAsia" w:ascii="Times New Roman" w:hAnsi="Times New Roman" w:eastAsia="仿宋_GB2312" w:cs="Times New Roman"/>
          <w:color w:val="000000" w:themeColor="text1"/>
          <w:sz w:val="32"/>
          <w:szCs w:val="32"/>
          <w14:textFill>
            <w14:solidFill>
              <w14:schemeClr w14:val="tx1"/>
            </w14:solidFill>
          </w14:textFill>
        </w:rPr>
        <w:t>（最终面积以实际勘界为准）</w:t>
      </w:r>
      <w:r>
        <w:rPr>
          <w:rFonts w:ascii="Times New Roman" w:hAnsi="Times New Roman" w:eastAsia="仿宋_GB2312" w:cs="Times New Roman"/>
          <w:color w:val="000000" w:themeColor="text1"/>
          <w:sz w:val="32"/>
          <w:szCs w:val="32"/>
          <w14:textFill>
            <w14:solidFill>
              <w14:schemeClr w14:val="tx1"/>
            </w14:solidFill>
          </w14:textFill>
        </w:rPr>
        <w:t>，为集中连片区块。项目成片开发四至为：东至四台三路，南至四台大道西延，西至襄河堤，北至规划金业路。</w:t>
      </w:r>
    </w:p>
    <w:p>
      <w:pPr>
        <w:widowControl/>
        <w:shd w:val="clear" w:color="auto" w:fill="FFFFFF"/>
        <w:spacing w:line="315" w:lineRule="atLeast"/>
        <w:ind w:firstLine="640"/>
        <w:jc w:val="left"/>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二、</w:t>
      </w:r>
      <w:r>
        <w:rPr>
          <w:rFonts w:ascii="黑体" w:hAnsi="宋体" w:eastAsia="黑体" w:cs="黑体"/>
          <w:color w:val="000000"/>
          <w:kern w:val="0"/>
          <w:sz w:val="32"/>
          <w:szCs w:val="32"/>
          <w:shd w:val="clear" w:color="auto" w:fill="FFFFFF"/>
          <w:lang w:bidi="ar"/>
        </w:rPr>
        <w:t>成片开发的必要性、效益分析</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Calibri" w:hAnsi="Calibri" w:eastAsia="宋体" w:cs="Calibri"/>
          <w:color w:val="000000"/>
          <w:sz w:val="32"/>
          <w:szCs w:val="32"/>
          <w:shd w:val="clear" w:color="auto" w:fill="FFFFFF"/>
        </w:rPr>
        <w:t>（一）</w:t>
      </w:r>
      <w:r>
        <w:rPr>
          <w:rFonts w:hint="eastAsia" w:ascii="Times New Roman" w:hAnsi="Times New Roman" w:eastAsia="仿宋_GB2312" w:cs="Times New Roman"/>
          <w:color w:val="000000" w:themeColor="text1"/>
          <w:sz w:val="32"/>
          <w:szCs w:val="32"/>
          <w14:textFill>
            <w14:solidFill>
              <w14:schemeClr w14:val="tx1"/>
            </w14:solidFill>
          </w14:textFill>
        </w:rPr>
        <w:t>必要性分析：是促进国土空间规划实施的需要；是提高土地利用效率需要；是带动产业发展、增加就业的需要；切实保护农民利益的需要。</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Calibri" w:hAnsi="Calibri" w:eastAsia="宋体" w:cs="Calibri"/>
          <w:color w:val="000000"/>
          <w:sz w:val="32"/>
          <w:szCs w:val="32"/>
          <w:shd w:val="clear" w:color="auto" w:fill="FFFFFF"/>
        </w:rPr>
        <w:t>（二）</w:t>
      </w:r>
      <w:r>
        <w:rPr>
          <w:rFonts w:ascii="Times New Roman" w:hAnsi="Times New Roman" w:eastAsia="仿宋_GB2312" w:cs="Times New Roman"/>
          <w:color w:val="000000" w:themeColor="text1"/>
          <w:sz w:val="32"/>
          <w:szCs w:val="32"/>
          <w14:textFill>
            <w14:solidFill>
              <w14:schemeClr w14:val="tx1"/>
            </w14:solidFill>
          </w14:textFill>
        </w:rPr>
        <w:t>效益分析：提高社会经济总量，增强在区域经济发展中的带动力，实现经济社会的协调发展；完善本片区的基础设施条件；有利于吸收周边剩余劳动力，增加城市的就业人口。</w:t>
      </w:r>
    </w:p>
    <w:p>
      <w:pPr>
        <w:widowControl/>
        <w:shd w:val="clear" w:color="auto" w:fill="FFFFFF"/>
        <w:spacing w:line="315" w:lineRule="atLeast"/>
        <w:ind w:firstLine="640"/>
        <w:jc w:val="left"/>
        <w:rPr>
          <w:rFonts w:ascii="Arial" w:hAnsi="Arial" w:cs="Arial"/>
          <w:color w:val="000000"/>
          <w:szCs w:val="21"/>
        </w:rPr>
      </w:pPr>
      <w:r>
        <w:rPr>
          <w:rFonts w:ascii="黑体" w:hAnsi="宋体" w:eastAsia="黑体" w:cs="黑体"/>
          <w:color w:val="000000"/>
          <w:kern w:val="0"/>
          <w:sz w:val="32"/>
          <w:szCs w:val="32"/>
          <w:shd w:val="clear" w:color="auto" w:fill="FFFFFF"/>
          <w:lang w:bidi="ar"/>
        </w:rPr>
        <w:t>三、规划符合情况</w:t>
      </w:r>
    </w:p>
    <w:p>
      <w:pPr>
        <w:widowControl/>
        <w:shd w:val="clear" w:color="auto" w:fill="FFFFFF"/>
        <w:spacing w:line="315" w:lineRule="atLeast"/>
        <w:ind w:firstLine="640"/>
        <w:jc w:val="left"/>
        <w:rPr>
          <w:rFonts w:ascii="Arial" w:hAnsi="Arial" w:cs="Arial"/>
          <w:color w:val="000000"/>
          <w:szCs w:val="21"/>
        </w:rPr>
      </w:pPr>
      <w:r>
        <w:rPr>
          <w:rFonts w:ascii="Times New Roman" w:hAnsi="Times New Roman" w:eastAsia="楷体_GB2312" w:cs="Times New Roman"/>
          <w:color w:val="000000"/>
          <w:kern w:val="0"/>
          <w:sz w:val="32"/>
          <w:szCs w:val="32"/>
          <w:shd w:val="clear" w:color="auto" w:fill="FFFFFF"/>
          <w:lang w:bidi="ar"/>
        </w:rPr>
        <w:t>（一）与国民经济和社会发展规划符合性分析</w:t>
      </w:r>
    </w:p>
    <w:p>
      <w:pPr>
        <w:pStyle w:val="2"/>
        <w:widowControl/>
        <w:shd w:val="clear" w:color="auto" w:fill="FFFFFF"/>
        <w:spacing w:line="315" w:lineRule="atLeast"/>
        <w:ind w:firstLine="640"/>
        <w:rPr>
          <w:rFonts w:ascii="Arial" w:hAnsi="Arial" w:cs="Arial"/>
          <w:color w:val="000000"/>
          <w:sz w:val="21"/>
          <w:szCs w:val="21"/>
        </w:rPr>
      </w:pPr>
      <w:r>
        <w:rPr>
          <w:rFonts w:hint="eastAsia" w:ascii="Calibri" w:hAnsi="Calibri" w:eastAsia="仿宋_GB2312" w:cs="Calibri"/>
          <w:color w:val="000000"/>
          <w:sz w:val="32"/>
          <w:szCs w:val="32"/>
          <w:shd w:val="clear" w:color="auto" w:fill="FFFFFF"/>
        </w:rPr>
        <w:t>本方案符合《汉阳区国民经济和社会发展第十四个五年规划和二〇三五年远景目标纲要》的发展定位和要求，在汉阳区国民经济和社会发展规划中已将该实施方案纳入汉阳区2022年重大策划项目，并承诺将后续实施计划纳入当年度国民经济和社会发展年度计划</w:t>
      </w:r>
      <w:r>
        <w:rPr>
          <w:rFonts w:hint="eastAsia" w:ascii="仿宋_GB2312" w:hAnsi="Calibri" w:eastAsia="仿宋_GB2312" w:cs="仿宋_GB2312"/>
          <w:color w:val="000000"/>
          <w:sz w:val="32"/>
          <w:szCs w:val="32"/>
          <w:shd w:val="clear" w:color="auto" w:fill="FFFFFF"/>
        </w:rPr>
        <w:t>。</w:t>
      </w:r>
    </w:p>
    <w:p>
      <w:pPr>
        <w:widowControl/>
        <w:shd w:val="clear" w:color="auto" w:fill="FFFFFF"/>
        <w:spacing w:line="315" w:lineRule="atLeast"/>
        <w:ind w:firstLine="640"/>
        <w:jc w:val="left"/>
        <w:rPr>
          <w:rFonts w:ascii="Arial" w:hAnsi="Arial" w:cs="Arial"/>
          <w:color w:val="000000"/>
          <w:szCs w:val="21"/>
        </w:rPr>
      </w:pPr>
      <w:r>
        <w:rPr>
          <w:rFonts w:ascii="Times New Roman" w:hAnsi="Times New Roman" w:eastAsia="楷体_GB2312" w:cs="Times New Roman"/>
          <w:color w:val="000000"/>
          <w:kern w:val="0"/>
          <w:sz w:val="32"/>
          <w:szCs w:val="32"/>
          <w:shd w:val="clear" w:color="auto" w:fill="FFFFFF"/>
          <w:lang w:bidi="ar"/>
        </w:rPr>
        <w:t>（二）成片开发范围国土空间规划符合性分析</w:t>
      </w:r>
    </w:p>
    <w:p>
      <w:pPr>
        <w:pStyle w:val="2"/>
        <w:widowControl/>
        <w:shd w:val="clear" w:color="auto" w:fill="FFFFFF"/>
        <w:spacing w:line="315" w:lineRule="atLeast"/>
        <w:ind w:firstLine="640"/>
        <w:rPr>
          <w:rFonts w:ascii="Arial" w:hAnsi="Arial" w:cs="Arial"/>
          <w:color w:val="000000"/>
          <w:sz w:val="21"/>
          <w:szCs w:val="21"/>
        </w:rPr>
      </w:pPr>
      <w:r>
        <w:rPr>
          <w:rFonts w:hint="eastAsia" w:ascii="仿宋_GB2312" w:hAnsi="Calibri" w:eastAsia="仿宋_GB2312" w:cs="仿宋_GB2312"/>
          <w:color w:val="000000"/>
          <w:sz w:val="32"/>
          <w:szCs w:val="32"/>
          <w:shd w:val="clear" w:color="auto" w:fill="FFFFFF"/>
        </w:rPr>
        <w:t>本方案成片开发用地位于武汉市现行土地利用总体规划确定的城镇建设边界范围内，未突破现行土地利用总体规划、城乡规划确定的禁止性内容和生态环境保护、自然与历史文化遗产保护、防灾减灾等强制性内容，不与生态保护红线和永久基本农田等管控要求冲突。</w:t>
      </w:r>
    </w:p>
    <w:p>
      <w:pPr>
        <w:pStyle w:val="2"/>
        <w:widowControl/>
        <w:shd w:val="clear" w:color="auto" w:fill="FFFFFF"/>
        <w:spacing w:line="315" w:lineRule="atLeast"/>
        <w:ind w:firstLine="640"/>
        <w:rPr>
          <w:rFonts w:ascii="Arial" w:hAnsi="Arial" w:cs="Arial"/>
          <w:color w:val="000000"/>
          <w:sz w:val="21"/>
          <w:szCs w:val="21"/>
        </w:rPr>
      </w:pPr>
      <w:r>
        <w:rPr>
          <w:rFonts w:ascii="Calibri" w:hAnsi="Calibri" w:eastAsia="仿宋_GB2312" w:cs="Calibri"/>
          <w:color w:val="000000"/>
          <w:sz w:val="32"/>
          <w:szCs w:val="32"/>
          <w:shd w:val="clear" w:color="auto" w:fill="FFFFFF"/>
        </w:rPr>
        <w:t>本方案未突破</w:t>
      </w:r>
      <w:r>
        <w:rPr>
          <w:rFonts w:hint="eastAsia" w:ascii="Calibri" w:hAnsi="Calibri" w:eastAsia="仿宋_GB2312" w:cs="Calibri"/>
          <w:color w:val="000000"/>
          <w:sz w:val="32"/>
          <w:szCs w:val="32"/>
          <w:shd w:val="clear" w:color="auto" w:fill="FFFFFF"/>
        </w:rPr>
        <w:t>武汉市</w:t>
      </w:r>
      <w:r>
        <w:rPr>
          <w:rFonts w:ascii="Calibri" w:hAnsi="Calibri" w:eastAsia="仿宋_GB2312" w:cs="Calibri"/>
          <w:color w:val="000000"/>
          <w:sz w:val="32"/>
          <w:szCs w:val="32"/>
          <w:shd w:val="clear" w:color="auto" w:fill="FFFFFF"/>
        </w:rPr>
        <w:t>建设用地总规模、耕地保有量等指标，符合</w:t>
      </w:r>
      <w:r>
        <w:rPr>
          <w:rFonts w:hint="eastAsia" w:ascii="Calibri" w:hAnsi="Calibri" w:eastAsia="仿宋_GB2312" w:cs="Calibri"/>
          <w:color w:val="000000"/>
          <w:sz w:val="32"/>
          <w:szCs w:val="32"/>
          <w:shd w:val="clear" w:color="auto" w:fill="FFFFFF"/>
        </w:rPr>
        <w:t>武汉市</w:t>
      </w:r>
      <w:r>
        <w:rPr>
          <w:rFonts w:ascii="Calibri" w:hAnsi="Calibri" w:eastAsia="仿宋_GB2312" w:cs="Calibri"/>
          <w:color w:val="000000"/>
          <w:sz w:val="32"/>
          <w:szCs w:val="32"/>
          <w:shd w:val="clear" w:color="auto" w:fill="FFFFFF"/>
        </w:rPr>
        <w:t>资源环境承载力评价和国土开发适宜性评价、国土空间开发保护现状评估、现行空间类规划实施情况评估等专题要求，不与武汉市国土空间规划（过渡版）管控要求冲突。在武汉市、汉阳区国土空间规划批准前，汉阳区承诺将本方案</w:t>
      </w:r>
      <w:r>
        <w:rPr>
          <w:rFonts w:hint="eastAsia" w:ascii="Calibri" w:hAnsi="Calibri" w:eastAsia="仿宋_GB2312" w:cs="Calibri"/>
          <w:color w:val="000000"/>
          <w:sz w:val="32"/>
          <w:szCs w:val="32"/>
          <w:shd w:val="clear" w:color="auto" w:fill="FFFFFF"/>
        </w:rPr>
        <w:t>的规划</w:t>
      </w:r>
      <w:r>
        <w:rPr>
          <w:rFonts w:ascii="Calibri" w:hAnsi="Calibri" w:eastAsia="仿宋_GB2312" w:cs="Calibri"/>
          <w:color w:val="000000"/>
          <w:sz w:val="32"/>
          <w:szCs w:val="32"/>
          <w:shd w:val="clear" w:color="auto" w:fill="FFFFFF"/>
        </w:rPr>
        <w:t>布局及</w:t>
      </w:r>
      <w:r>
        <w:rPr>
          <w:rFonts w:hint="eastAsia" w:ascii="Calibri" w:hAnsi="Calibri" w:eastAsia="仿宋_GB2312" w:cs="Calibri"/>
          <w:color w:val="000000"/>
          <w:sz w:val="32"/>
          <w:szCs w:val="32"/>
          <w:shd w:val="clear" w:color="auto" w:fill="FFFFFF"/>
        </w:rPr>
        <w:t>项目布局</w:t>
      </w:r>
      <w:r>
        <w:rPr>
          <w:rFonts w:ascii="Calibri" w:hAnsi="Calibri" w:eastAsia="仿宋_GB2312" w:cs="Calibri"/>
          <w:color w:val="000000"/>
          <w:sz w:val="32"/>
          <w:szCs w:val="32"/>
          <w:shd w:val="clear" w:color="auto" w:fill="FFFFFF"/>
        </w:rPr>
        <w:t>纳入正在编制的规划期至2035年的国土空间规划，并做好过渡期台帐管理</w:t>
      </w:r>
      <w:r>
        <w:rPr>
          <w:rFonts w:hint="eastAsia" w:ascii="仿宋_GB2312" w:hAnsi="Calibri" w:eastAsia="仿宋_GB2312" w:cs="仿宋_GB2312"/>
          <w:color w:val="000000"/>
          <w:sz w:val="32"/>
          <w:szCs w:val="32"/>
          <w:shd w:val="clear" w:color="auto" w:fill="FFFFFF"/>
        </w:rPr>
        <w:t>。</w:t>
      </w:r>
    </w:p>
    <w:p>
      <w:pPr>
        <w:widowControl/>
        <w:shd w:val="clear" w:color="auto" w:fill="FFFFFF"/>
        <w:spacing w:line="315" w:lineRule="atLeast"/>
        <w:ind w:firstLine="640"/>
        <w:jc w:val="left"/>
        <w:rPr>
          <w:rFonts w:ascii="Arial" w:hAnsi="Arial" w:cs="Arial"/>
          <w:color w:val="000000"/>
          <w:szCs w:val="21"/>
        </w:rPr>
      </w:pPr>
      <w:r>
        <w:rPr>
          <w:rFonts w:ascii="Times New Roman" w:hAnsi="Times New Roman" w:eastAsia="楷体_GB2312" w:cs="Times New Roman"/>
          <w:color w:val="000000"/>
          <w:kern w:val="0"/>
          <w:sz w:val="32"/>
          <w:szCs w:val="32"/>
          <w:shd w:val="clear" w:color="auto" w:fill="FFFFFF"/>
          <w:lang w:bidi="ar"/>
        </w:rPr>
        <w:t>（三）选址适宜性分析</w:t>
      </w:r>
    </w:p>
    <w:p>
      <w:pPr>
        <w:pStyle w:val="2"/>
        <w:widowControl/>
        <w:shd w:val="clear" w:color="auto" w:fill="FFFFFF"/>
        <w:spacing w:after="120" w:line="315" w:lineRule="atLeast"/>
        <w:ind w:firstLine="640"/>
        <w:rPr>
          <w:rFonts w:ascii="Arial" w:hAnsi="Arial" w:cs="Arial"/>
          <w:color w:val="000000"/>
          <w:sz w:val="21"/>
          <w:szCs w:val="21"/>
        </w:rPr>
      </w:pPr>
      <w:r>
        <w:rPr>
          <w:rFonts w:hint="eastAsia" w:ascii="仿宋_GB2312" w:hAnsi="Calibri" w:eastAsia="仿宋_GB2312" w:cs="仿宋_GB2312"/>
          <w:color w:val="000000"/>
          <w:sz w:val="32"/>
          <w:szCs w:val="32"/>
          <w:shd w:val="clear" w:color="auto" w:fill="FFFFFF"/>
        </w:rPr>
        <w:t>经与武汉市规划“一张图”中的武汉市地质灾害隐患点、防治规划分区、灾害易发程度分区、溶洞地面已塌陷程度分区对比核查，本方案成片开发范围选址属于地质灾害不易发区，没有现状地质灾害。未发现有重要工业价值的矿产资源，或有压覆现状矿山和已经探明的矿产资源。</w:t>
      </w:r>
    </w:p>
    <w:p>
      <w:pPr>
        <w:widowControl/>
        <w:shd w:val="clear" w:color="auto" w:fill="FFFFFF"/>
        <w:spacing w:line="315" w:lineRule="atLeast"/>
        <w:ind w:firstLine="640"/>
        <w:jc w:val="left"/>
        <w:rPr>
          <w:rFonts w:ascii="Arial" w:hAnsi="Arial" w:cs="Arial"/>
          <w:color w:val="000000"/>
          <w:szCs w:val="21"/>
        </w:rPr>
      </w:pPr>
      <w:r>
        <w:rPr>
          <w:rFonts w:hint="eastAsia" w:ascii="黑体" w:hAnsi="宋体" w:eastAsia="黑体" w:cs="黑体"/>
          <w:color w:val="000000"/>
          <w:kern w:val="0"/>
          <w:sz w:val="32"/>
          <w:szCs w:val="32"/>
          <w:shd w:val="clear" w:color="auto" w:fill="FFFFFF"/>
          <w:lang w:bidi="ar"/>
        </w:rPr>
        <w:t>四、主要用途和拟实现功能</w:t>
      </w:r>
    </w:p>
    <w:p>
      <w:pPr>
        <w:pStyle w:val="2"/>
        <w:widowControl/>
        <w:shd w:val="clear" w:color="auto" w:fill="FFFFFF"/>
        <w:spacing w:line="315" w:lineRule="atLeast"/>
        <w:ind w:firstLine="640"/>
        <w:rPr>
          <w:rFonts w:ascii="Arial" w:hAnsi="Arial" w:cs="Arial"/>
          <w:color w:val="000000"/>
          <w:sz w:val="21"/>
          <w:szCs w:val="21"/>
        </w:rPr>
      </w:pPr>
      <w:r>
        <w:rPr>
          <w:rFonts w:hint="eastAsia" w:ascii="仿宋_GB2312" w:hAnsi="Calibri" w:eastAsia="仿宋_GB2312" w:cs="仿宋_GB2312"/>
          <w:color w:val="000000"/>
          <w:sz w:val="32"/>
          <w:szCs w:val="32"/>
          <w:shd w:val="clear" w:color="auto" w:fill="FFFFFF"/>
        </w:rPr>
        <w:t>本方案主要用途为工业生产，拟实现高端制造产业功能。</w:t>
      </w:r>
    </w:p>
    <w:p>
      <w:pPr>
        <w:widowControl/>
        <w:shd w:val="clear" w:color="auto" w:fill="FFFFFF"/>
        <w:spacing w:line="315" w:lineRule="atLeast"/>
        <w:ind w:firstLine="640"/>
        <w:jc w:val="left"/>
        <w:rPr>
          <w:rFonts w:ascii="Arial" w:hAnsi="Arial" w:cs="Arial"/>
          <w:color w:val="000000"/>
          <w:szCs w:val="21"/>
        </w:rPr>
      </w:pPr>
      <w:r>
        <w:rPr>
          <w:rFonts w:hint="eastAsia" w:ascii="黑体" w:hAnsi="宋体" w:eastAsia="黑体" w:cs="黑体"/>
          <w:color w:val="000000"/>
          <w:kern w:val="0"/>
          <w:sz w:val="32"/>
          <w:szCs w:val="32"/>
          <w:shd w:val="clear" w:color="auto" w:fill="FFFFFF"/>
          <w:lang w:bidi="ar"/>
        </w:rPr>
        <w:t>五、拟建设项目、开发时序和实施计划</w:t>
      </w:r>
    </w:p>
    <w:p>
      <w:pPr>
        <w:pStyle w:val="2"/>
        <w:widowControl/>
        <w:shd w:val="clear" w:color="auto" w:fill="FFFFFF"/>
        <w:spacing w:line="315" w:lineRule="atLeast"/>
        <w:ind w:firstLine="640"/>
        <w:rPr>
          <w:rFonts w:ascii="Arial" w:hAnsi="Arial" w:cs="Arial"/>
          <w:color w:val="000000"/>
          <w:sz w:val="21"/>
          <w:szCs w:val="21"/>
        </w:rPr>
      </w:pPr>
      <w:r>
        <w:rPr>
          <w:rFonts w:ascii="Calibri" w:hAnsi="Calibri" w:eastAsia="仿宋_GB2312" w:cs="Calibri"/>
          <w:color w:val="000000"/>
          <w:sz w:val="32"/>
          <w:szCs w:val="32"/>
          <w:shd w:val="clear" w:color="auto" w:fill="FFFFFF"/>
        </w:rPr>
        <w:t>本方案拟安排项目6个，其中工业生产用途项目1个、公园绿地用途项目2个、交通运输用地用途项目3个。计划实施周期为2022年—2024年，3年内实施完毕</w:t>
      </w:r>
      <w:r>
        <w:rPr>
          <w:rFonts w:hint="eastAsia" w:ascii="仿宋_GB2312" w:hAnsi="Calibri" w:eastAsia="仿宋_GB2312" w:cs="仿宋_GB2312"/>
          <w:color w:val="000000"/>
          <w:sz w:val="32"/>
          <w:szCs w:val="32"/>
          <w:shd w:val="clear" w:color="auto" w:fill="FFFFFF"/>
        </w:rPr>
        <w:t>。</w:t>
      </w:r>
    </w:p>
    <w:p>
      <w:pPr>
        <w:pStyle w:val="2"/>
        <w:widowControl/>
        <w:shd w:val="clear" w:color="auto" w:fill="FFFFFF"/>
        <w:spacing w:line="315" w:lineRule="atLeast"/>
        <w:ind w:firstLine="640"/>
        <w:rPr>
          <w:rFonts w:ascii="Arial" w:hAnsi="Arial" w:eastAsia="仿宋_GB2312" w:cs="Arial"/>
          <w:color w:val="000000"/>
          <w:sz w:val="21"/>
          <w:szCs w:val="21"/>
        </w:rPr>
      </w:pPr>
      <w:r>
        <w:rPr>
          <w:rFonts w:ascii="Times New Roman" w:hAnsi="Times New Roman" w:cs="Times New Roman"/>
          <w:color w:val="000000"/>
          <w:sz w:val="32"/>
          <w:szCs w:val="32"/>
          <w:shd w:val="clear" w:color="auto" w:fill="FFFFFF"/>
        </w:rPr>
        <w:t>2022</w:t>
      </w:r>
      <w:r>
        <w:rPr>
          <w:rFonts w:ascii="Calibri" w:hAnsi="Calibri" w:eastAsia="仿宋_GB2312" w:cs="Calibri"/>
          <w:color w:val="000000"/>
          <w:sz w:val="32"/>
          <w:szCs w:val="32"/>
          <w:shd w:val="clear" w:color="auto" w:fill="FFFFFF"/>
        </w:rPr>
        <w:t>年实施项目</w:t>
      </w:r>
      <w:r>
        <w:rPr>
          <w:rFonts w:ascii="Times New Roman" w:hAnsi="Times New Roman" w:cs="Times New Roman"/>
          <w:color w:val="000000"/>
          <w:sz w:val="32"/>
          <w:szCs w:val="32"/>
          <w:shd w:val="clear" w:color="auto" w:fill="FFFFFF"/>
        </w:rPr>
        <w:t>1</w:t>
      </w:r>
      <w:r>
        <w:rPr>
          <w:rFonts w:ascii="Calibri" w:hAnsi="Calibri" w:eastAsia="仿宋_GB2312" w:cs="Calibri"/>
          <w:color w:val="000000"/>
          <w:sz w:val="32"/>
          <w:szCs w:val="32"/>
          <w:shd w:val="clear" w:color="auto" w:fill="FFFFFF"/>
        </w:rPr>
        <w:t>个，完成土地征收面积</w:t>
      </w:r>
      <w:r>
        <w:rPr>
          <w:rFonts w:ascii="Times New Roman" w:hAnsi="Times New Roman" w:cs="Times New Roman"/>
          <w:color w:val="000000"/>
          <w:sz w:val="32"/>
          <w:szCs w:val="32"/>
          <w:shd w:val="clear" w:color="auto" w:fill="FFFFFF"/>
        </w:rPr>
        <w:t>5.0694</w:t>
      </w:r>
      <w:r>
        <w:rPr>
          <w:rFonts w:ascii="Calibri" w:hAnsi="Calibri" w:eastAsia="仿宋_GB2312" w:cs="Calibri"/>
          <w:color w:val="000000"/>
          <w:sz w:val="32"/>
          <w:szCs w:val="32"/>
          <w:shd w:val="clear" w:color="auto" w:fill="FFFFFF"/>
        </w:rPr>
        <w:t>公顷，土地供应</w:t>
      </w:r>
      <w:r>
        <w:rPr>
          <w:rFonts w:ascii="Times New Roman" w:hAnsi="Times New Roman" w:cs="Times New Roman"/>
          <w:color w:val="000000"/>
          <w:sz w:val="32"/>
          <w:szCs w:val="32"/>
          <w:shd w:val="clear" w:color="auto" w:fill="FFFFFF"/>
        </w:rPr>
        <w:t>5.3565</w:t>
      </w:r>
      <w:r>
        <w:rPr>
          <w:rFonts w:ascii="Calibri" w:hAnsi="Calibri" w:eastAsia="仿宋_GB2312" w:cs="Calibri"/>
          <w:color w:val="000000"/>
          <w:sz w:val="32"/>
          <w:szCs w:val="32"/>
          <w:shd w:val="clear" w:color="auto" w:fill="FFFFFF"/>
        </w:rPr>
        <w:t>公顷；</w:t>
      </w:r>
      <w:r>
        <w:rPr>
          <w:rFonts w:ascii="Times New Roman" w:hAnsi="Times New Roman" w:cs="Times New Roman"/>
          <w:color w:val="000000"/>
          <w:sz w:val="32"/>
          <w:szCs w:val="32"/>
          <w:shd w:val="clear" w:color="auto" w:fill="FFFFFF"/>
        </w:rPr>
        <w:t>2023</w:t>
      </w:r>
      <w:r>
        <w:rPr>
          <w:rFonts w:ascii="Calibri" w:hAnsi="Calibri" w:eastAsia="仿宋_GB2312" w:cs="Calibri"/>
          <w:color w:val="000000"/>
          <w:sz w:val="32"/>
          <w:szCs w:val="32"/>
          <w:shd w:val="clear" w:color="auto" w:fill="FFFFFF"/>
        </w:rPr>
        <w:t>年实施项目</w:t>
      </w:r>
      <w:r>
        <w:rPr>
          <w:rFonts w:hint="eastAsia" w:ascii="Times New Roman" w:hAnsi="Times New Roman" w:eastAsia="仿宋_GB2312" w:cs="Times New Roman"/>
          <w:color w:val="000000"/>
          <w:sz w:val="32"/>
          <w:szCs w:val="32"/>
          <w:shd w:val="clear" w:color="auto" w:fill="FFFFFF"/>
        </w:rPr>
        <w:t>3</w:t>
      </w:r>
      <w:r>
        <w:rPr>
          <w:rFonts w:ascii="Calibri" w:hAnsi="Calibri" w:eastAsia="仿宋_GB2312" w:cs="Calibri"/>
          <w:color w:val="000000"/>
          <w:sz w:val="32"/>
          <w:szCs w:val="32"/>
          <w:shd w:val="clear" w:color="auto" w:fill="FFFFFF"/>
        </w:rPr>
        <w:t>个，完成土地征收面积</w:t>
      </w:r>
      <w:r>
        <w:rPr>
          <w:rFonts w:ascii="Times New Roman" w:hAnsi="Times New Roman" w:cs="Times New Roman"/>
          <w:color w:val="000000"/>
          <w:sz w:val="32"/>
          <w:szCs w:val="32"/>
          <w:shd w:val="clear" w:color="auto" w:fill="FFFFFF"/>
        </w:rPr>
        <w:t>2.</w:t>
      </w:r>
      <w:r>
        <w:rPr>
          <w:rFonts w:hint="eastAsia" w:ascii="Times New Roman" w:hAnsi="Times New Roman" w:cs="Times New Roman"/>
          <w:color w:val="000000"/>
          <w:sz w:val="32"/>
          <w:szCs w:val="32"/>
          <w:shd w:val="clear" w:color="auto" w:fill="FFFFFF"/>
        </w:rPr>
        <w:t>7154</w:t>
      </w:r>
      <w:r>
        <w:rPr>
          <w:rFonts w:ascii="Calibri" w:hAnsi="Calibri" w:eastAsia="仿宋_GB2312" w:cs="Calibri"/>
          <w:color w:val="000000"/>
          <w:sz w:val="32"/>
          <w:szCs w:val="32"/>
          <w:shd w:val="clear" w:color="auto" w:fill="FFFFFF"/>
        </w:rPr>
        <w:t>公顷，土地供应</w:t>
      </w:r>
      <w:r>
        <w:rPr>
          <w:rFonts w:ascii="Times New Roman" w:hAnsi="Times New Roman" w:cs="Times New Roman"/>
          <w:color w:val="000000"/>
          <w:sz w:val="32"/>
          <w:szCs w:val="32"/>
          <w:shd w:val="clear" w:color="auto" w:fill="FFFFFF"/>
        </w:rPr>
        <w:t>3.5286</w:t>
      </w:r>
      <w:r>
        <w:rPr>
          <w:rFonts w:ascii="Calibri" w:hAnsi="Calibri" w:eastAsia="仿宋_GB2312" w:cs="Calibri"/>
          <w:color w:val="000000"/>
          <w:sz w:val="32"/>
          <w:szCs w:val="32"/>
          <w:shd w:val="clear" w:color="auto" w:fill="FFFFFF"/>
        </w:rPr>
        <w:t>公顷；</w:t>
      </w:r>
      <w:r>
        <w:rPr>
          <w:rFonts w:ascii="Times New Roman" w:hAnsi="Times New Roman" w:cs="Times New Roman"/>
          <w:color w:val="000000"/>
          <w:sz w:val="32"/>
          <w:szCs w:val="32"/>
          <w:shd w:val="clear" w:color="auto" w:fill="FFFFFF"/>
        </w:rPr>
        <w:t>2024</w:t>
      </w:r>
      <w:r>
        <w:rPr>
          <w:rFonts w:ascii="Calibri" w:hAnsi="Calibri" w:eastAsia="仿宋_GB2312" w:cs="Calibri"/>
          <w:color w:val="000000"/>
          <w:sz w:val="32"/>
          <w:szCs w:val="32"/>
          <w:shd w:val="clear" w:color="auto" w:fill="FFFFFF"/>
        </w:rPr>
        <w:t>年实施项目</w:t>
      </w:r>
      <w:r>
        <w:rPr>
          <w:rFonts w:hint="eastAsia" w:ascii="Times New Roman" w:hAnsi="Times New Roman" w:eastAsia="仿宋_GB2312" w:cs="Times New Roman"/>
          <w:color w:val="000000"/>
          <w:sz w:val="32"/>
          <w:szCs w:val="32"/>
          <w:shd w:val="clear" w:color="auto" w:fill="FFFFFF"/>
        </w:rPr>
        <w:t>2</w:t>
      </w:r>
      <w:r>
        <w:rPr>
          <w:rFonts w:ascii="Calibri" w:hAnsi="Calibri" w:eastAsia="仿宋_GB2312" w:cs="Calibri"/>
          <w:color w:val="000000"/>
          <w:sz w:val="32"/>
          <w:szCs w:val="32"/>
          <w:shd w:val="clear" w:color="auto" w:fill="FFFFFF"/>
        </w:rPr>
        <w:t>个，完成土地征收面积</w:t>
      </w:r>
      <w:r>
        <w:rPr>
          <w:rFonts w:hint="eastAsia" w:ascii="Times New Roman" w:hAnsi="Times New Roman" w:eastAsia="仿宋_GB2312" w:cs="Times New Roman"/>
          <w:color w:val="000000"/>
          <w:sz w:val="32"/>
          <w:szCs w:val="32"/>
          <w:shd w:val="clear" w:color="auto" w:fill="FFFFFF"/>
        </w:rPr>
        <w:t>0</w:t>
      </w:r>
      <w:r>
        <w:rPr>
          <w:rFonts w:ascii="Calibri" w:hAnsi="Calibri" w:eastAsia="仿宋_GB2312" w:cs="Calibri"/>
          <w:color w:val="000000"/>
          <w:sz w:val="32"/>
          <w:szCs w:val="32"/>
          <w:shd w:val="clear" w:color="auto" w:fill="FFFFFF"/>
        </w:rPr>
        <w:t>公顷，土地供应</w:t>
      </w:r>
      <w:r>
        <w:rPr>
          <w:rFonts w:ascii="Times New Roman" w:hAnsi="Times New Roman" w:cs="Times New Roman"/>
          <w:color w:val="000000"/>
          <w:sz w:val="32"/>
          <w:szCs w:val="32"/>
          <w:shd w:val="clear" w:color="auto" w:fill="FFFFFF"/>
        </w:rPr>
        <w:t>1.6427</w:t>
      </w:r>
      <w:r>
        <w:rPr>
          <w:rFonts w:hint="eastAsia" w:ascii="仿宋_GB2312" w:hAnsi="Calibri" w:eastAsia="仿宋_GB2312" w:cs="仿宋_GB2312"/>
          <w:color w:val="000000"/>
          <w:sz w:val="32"/>
          <w:szCs w:val="32"/>
          <w:shd w:val="clear" w:color="auto" w:fill="FFFFFF"/>
        </w:rPr>
        <w:t>公顷。</w:t>
      </w:r>
    </w:p>
    <w:p>
      <w:pPr>
        <w:widowControl/>
        <w:shd w:val="clear" w:color="auto" w:fill="FFFFFF"/>
        <w:spacing w:line="315" w:lineRule="atLeast"/>
        <w:ind w:firstLine="640"/>
        <w:jc w:val="left"/>
        <w:rPr>
          <w:rFonts w:ascii="Arial" w:hAnsi="Arial" w:cs="Arial"/>
          <w:color w:val="000000"/>
          <w:szCs w:val="21"/>
        </w:rPr>
      </w:pPr>
      <w:r>
        <w:rPr>
          <w:rFonts w:hint="eastAsia" w:ascii="黑体" w:hAnsi="宋体" w:eastAsia="黑体" w:cs="黑体"/>
          <w:color w:val="000000"/>
          <w:kern w:val="0"/>
          <w:sz w:val="32"/>
          <w:szCs w:val="32"/>
          <w:shd w:val="clear" w:color="auto" w:fill="FFFFFF"/>
          <w:lang w:bidi="ar"/>
        </w:rPr>
        <w:t>六、基础设施、公共服务设施及其他公益用地比例</w:t>
      </w:r>
    </w:p>
    <w:p>
      <w:pPr>
        <w:widowControl/>
        <w:shd w:val="clear" w:color="auto" w:fill="FFFFFF"/>
        <w:spacing w:line="315" w:lineRule="atLeast"/>
        <w:ind w:firstLine="640"/>
        <w:jc w:val="left"/>
        <w:rPr>
          <w:rFonts w:ascii="Arial" w:hAnsi="Arial" w:cs="Arial"/>
          <w:color w:val="000000"/>
          <w:szCs w:val="21"/>
        </w:rPr>
      </w:pPr>
      <w:r>
        <w:rPr>
          <w:rFonts w:hint="eastAsia" w:ascii="仿宋_GB2312" w:hAnsi="Times New Roman" w:eastAsia="仿宋_GB2312" w:cs="仿宋_GB2312"/>
          <w:color w:val="000000"/>
          <w:kern w:val="0"/>
          <w:sz w:val="32"/>
          <w:szCs w:val="32"/>
          <w:shd w:val="clear" w:color="auto" w:fill="FFFFFF"/>
          <w:lang w:bidi="ar"/>
        </w:rPr>
        <w:t>根据用途分区和建设项目安排，本方案成片开发范围内，公园绿地和交通设施用地属于公益性用地。成片开发范围内公益性用地面积5.1713公顷，其中，现有公益性用地面积为1.4552公顷，规划公益性用地面积3.7161公顷，公益性用地占总用地面积比例为49.12%，符合《湖北省土地征收成片开发实施细则（试行）》公益性用地占比一般不低于40%的规定。</w:t>
      </w:r>
    </w:p>
    <w:p>
      <w:pPr>
        <w:widowControl/>
        <w:shd w:val="clear" w:color="auto" w:fill="FFFFFF"/>
        <w:spacing w:line="315" w:lineRule="atLeast"/>
        <w:ind w:firstLine="640"/>
        <w:jc w:val="left"/>
        <w:rPr>
          <w:rFonts w:ascii="Arial" w:hAnsi="Arial" w:cs="Arial"/>
          <w:color w:val="000000"/>
          <w:szCs w:val="21"/>
        </w:rPr>
      </w:pPr>
      <w:r>
        <w:rPr>
          <w:rFonts w:hint="eastAsia" w:ascii="黑体" w:hAnsi="宋体" w:eastAsia="黑体" w:cs="黑体"/>
          <w:color w:val="000000"/>
          <w:kern w:val="0"/>
          <w:sz w:val="32"/>
          <w:szCs w:val="32"/>
          <w:shd w:val="clear" w:color="auto" w:fill="FFFFFF"/>
          <w:lang w:bidi="ar"/>
        </w:rPr>
        <w:t>七、结论</w:t>
      </w:r>
    </w:p>
    <w:p>
      <w:pPr>
        <w:widowControl/>
        <w:shd w:val="clear" w:color="auto" w:fill="FFFFFF"/>
        <w:spacing w:line="315" w:lineRule="atLeast"/>
        <w:ind w:firstLine="640"/>
        <w:jc w:val="left"/>
        <w:rPr>
          <w:rFonts w:ascii="Arial" w:hAnsi="Arial" w:cs="Arial"/>
          <w:color w:val="000000"/>
          <w:szCs w:val="21"/>
        </w:rPr>
      </w:pPr>
      <w:r>
        <w:rPr>
          <w:rFonts w:hint="eastAsia" w:ascii="仿宋_GB2312" w:hAnsi="Times New Roman" w:eastAsia="仿宋_GB2312" w:cs="仿宋_GB2312"/>
          <w:color w:val="000000"/>
          <w:kern w:val="0"/>
          <w:sz w:val="32"/>
          <w:szCs w:val="32"/>
          <w:shd w:val="clear" w:color="auto" w:fill="FFFFFF"/>
          <w:lang w:bidi="ar"/>
        </w:rPr>
        <w:t>汉阳区四台村157.92亩片区土地征收成片开发方案符合国民经济和社会发展规划、国土空间规划，已纳入国民经济和社会发展年度计划，符合部、省规定的标准，做到了保护耕地、维护农民合法权益、节约集约用地、保护生态环境，能够促进经济社会可持续发展。</w:t>
      </w:r>
    </w:p>
    <w:p>
      <w:pPr>
        <w:widowControl/>
        <w:shd w:val="clear" w:color="auto" w:fill="FFFFFF"/>
        <w:spacing w:line="315" w:lineRule="atLeast"/>
        <w:ind w:firstLine="640"/>
        <w:jc w:val="left"/>
        <w:rPr>
          <w:rFonts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附图：土地征收成片开发位置示意图</w:t>
      </w:r>
    </w:p>
    <w:p>
      <w:pPr>
        <w:widowControl/>
        <w:shd w:val="clear" w:color="auto" w:fill="FFFFFF"/>
        <w:spacing w:line="315" w:lineRule="atLeast"/>
        <w:jc w:val="center"/>
        <w:rPr>
          <w:rFonts w:ascii="仿宋_GB2312" w:hAnsi="Times New Roman" w:eastAsia="仿宋_GB2312" w:cs="仿宋_GB2312"/>
          <w:color w:val="000000"/>
          <w:kern w:val="0"/>
          <w:sz w:val="32"/>
          <w:szCs w:val="32"/>
          <w:shd w:val="clear" w:color="auto" w:fill="FFFFFF"/>
          <w:lang w:bidi="ar"/>
        </w:rPr>
      </w:pPr>
      <w:r>
        <w:rPr>
          <w:rFonts w:ascii="Times New Roman" w:hAnsi="Times New Roman"/>
          <w:b/>
          <w:bCs/>
          <w:sz w:val="32"/>
          <w:szCs w:val="32"/>
        </w:rPr>
        <w:drawing>
          <wp:inline distT="0" distB="0" distL="114300" distR="114300">
            <wp:extent cx="5325745" cy="3766820"/>
            <wp:effectExtent l="0" t="0" r="8255" b="5080"/>
            <wp:docPr id="15" name="图片 15" descr="01位置示意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1位置示意图(3)"/>
                    <pic:cNvPicPr>
                      <a:picLocks noChangeAspect="1"/>
                    </pic:cNvPicPr>
                  </pic:nvPicPr>
                  <pic:blipFill>
                    <a:blip r:embed="rId4"/>
                    <a:stretch>
                      <a:fillRect/>
                    </a:stretch>
                  </pic:blipFill>
                  <pic:spPr>
                    <a:xfrm>
                      <a:off x="0" y="0"/>
                      <a:ext cx="5325745" cy="3766820"/>
                    </a:xfrm>
                    <a:prstGeom prst="rect">
                      <a:avLst/>
                    </a:prstGeom>
                  </pic:spPr>
                </pic:pic>
              </a:graphicData>
            </a:graphic>
          </wp:inline>
        </w:drawing>
      </w:r>
    </w:p>
    <w:p>
      <w:pPr>
        <w:spacing w:line="540" w:lineRule="exact"/>
        <w:rPr>
          <w:rFonts w:ascii="Times New Roman" w:hAnsi="Times New Roman" w:eastAsia="仿宋_GB2312"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A8E5C9-DE18-406B-B7D5-C6D4F4BA53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82C967-B23B-445B-B011-37388E88B68A}"/>
  </w:font>
  <w:font w:name="仿宋_GB2312">
    <w:panose1 w:val="02010609030101010101"/>
    <w:charset w:val="86"/>
    <w:family w:val="modern"/>
    <w:pitch w:val="default"/>
    <w:sig w:usb0="00000001" w:usb1="080E0000" w:usb2="00000000" w:usb3="00000000" w:csb0="00040000" w:csb1="00000000"/>
    <w:embedRegular r:id="rId3" w:fontKey="{73554B8C-B905-4E8C-9BB4-11104AB7EAC2}"/>
  </w:font>
  <w:font w:name="方正小标宋_GBK">
    <w:panose1 w:val="03000509000000000000"/>
    <w:charset w:val="86"/>
    <w:family w:val="script"/>
    <w:pitch w:val="default"/>
    <w:sig w:usb0="00000001" w:usb1="080E0000" w:usb2="00000000" w:usb3="00000000" w:csb0="00040000" w:csb1="00000000"/>
    <w:embedRegular r:id="rId4" w:fontKey="{48199529-2A9E-4730-BAC9-ECA054B6E4AA}"/>
  </w:font>
  <w:font w:name="Arial">
    <w:panose1 w:val="020B0604020202020204"/>
    <w:charset w:val="00"/>
    <w:family w:val="swiss"/>
    <w:pitch w:val="default"/>
    <w:sig w:usb0="E0002EFF" w:usb1="C000785B" w:usb2="00000009" w:usb3="00000000" w:csb0="400001FF" w:csb1="FFFF0000"/>
    <w:embedRegular r:id="rId5" w:fontKey="{FCB6DB70-D737-4559-9656-35E48BDE0AC3}"/>
  </w:font>
  <w:font w:name="楷体_GB2312">
    <w:altName w:val="楷体"/>
    <w:panose1 w:val="00000000000000000000"/>
    <w:charset w:val="00"/>
    <w:family w:val="auto"/>
    <w:pitch w:val="default"/>
    <w:sig w:usb0="00000000" w:usb1="00000000" w:usb2="00000000" w:usb3="00000000" w:csb0="00000000" w:csb1="00000000"/>
    <w:embedRegular r:id="rId6" w:fontKey="{84FADD63-E9FB-4CF4-A7C5-97311888098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YmE4NGYwNWJmYTVmM2MwM2E2NjZlN2Q2NTA1NzYifQ=="/>
  </w:docVars>
  <w:rsids>
    <w:rsidRoot w:val="00000000"/>
    <w:rsid w:val="6BAC0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1900</Words>
  <Characters>2050</Characters>
  <Lines>15</Lines>
  <Paragraphs>4</Paragraphs>
  <TotalTime>0</TotalTime>
  <ScaleCrop>false</ScaleCrop>
  <LinksUpToDate>false</LinksUpToDate>
  <CharactersWithSpaces>2076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2022-06-09T03:19:00Z</dcterms:created>
  <dc:creator>PC</dc:creator>
  <cp:lastModifiedBy> 麦兜兜兜兜麦兜兜</cp:lastModifiedBy>
  <dcterms:modified xsi:type="dcterms:W3CDTF">2022-06-09T01:07:43Z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E1F1055669964A989DEF147E3438A98F</vt:lpwstr>
  </property>
</Properties>
</file>