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汉阳区琴断口街道办事处2020年度政府信息</w:t>
      </w:r>
      <w:bookmarkStart w:id="0" w:name="_GoBack"/>
      <w:bookmarkEnd w:id="0"/>
    </w:p>
    <w:p>
      <w:pPr>
        <w:keepNext w:val="0"/>
        <w:keepLines w:val="0"/>
        <w:pageBreakBefore w:val="0"/>
        <w:kinsoku/>
        <w:wordWrap/>
        <w:overflowPunct/>
        <w:topLinePunct w:val="0"/>
        <w:autoSpaceDE/>
        <w:autoSpaceDN/>
        <w:bidi w:val="0"/>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公开工作年度报告</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一、总体情况</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我街高度重视《中华人民共和国政府信息公开条例》（下称《条例》）的实施工作，认真贯彻落实上级的指示精神，按照上级部门的要求全街统一部署、加强了组织建设，开展了学习宣传《条例》的活动，继续完善了街机关承担的需要公开信息的指南和目录，建立了街道信息公开工作制度，加强了信息公开的平台建设，扎实、有序地推进了政府信息公开工作。</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（一）组织机构建设情况</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 xml:space="preserve"> 2020年我街进一步加强和充实了组织机构建设，指定了街党政综合办公室为专门机构从事政府信息公开工作，确定了专人负责政府信息公开事项，做到了有领导分管、有专人负责。</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（二）《指南》和《目录》的更新、完善情况</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2020年我街根据实际情况不断更新完善了《信息公开指南》并参照《中华人民共和国政府信息公开条例》合理设置了公开目录。</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（三）建立健全工作机制、制度规范情况</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一是及时转发了中央、省、市、区有关政府信息公开的制度文件并结合我街的实际情况制订完善了包括政府信息公开保密审查制度、依申请公开政府信息的工作制度、政府信息主动公开的工作制度等一系列规章制度，从制度上保障了政府信息公开工作的有效运转、规范运作。二是按要求在规定的时间内完成了政府信息公开工作的年度报告并及时在网上公开。三是健全了政府公开信息的统计制度，及时、准确做好每季度政府公开信息的统计报送工作，及时掌握政府公开信息工作的进展情况。。</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二、行政机关主动公开政府信息情况</w:t>
      </w:r>
    </w:p>
    <w:p>
      <w:pPr>
        <w:spacing w:line="600" w:lineRule="exact"/>
        <w:ind w:firstLine="720" w:firstLineChars="225"/>
        <w:rPr>
          <w:rFonts w:hint="eastAsia" w:ascii="仿宋" w:hAnsi="仿宋" w:eastAsia="仿宋"/>
          <w:sz w:val="32"/>
          <w:szCs w:val="32"/>
        </w:rPr>
      </w:pPr>
      <w:r>
        <w:rPr>
          <w:rFonts w:hint="eastAsia" w:ascii="仿宋" w:hAnsi="仿宋" w:eastAsia="仿宋"/>
          <w:sz w:val="32"/>
          <w:szCs w:val="32"/>
        </w:rPr>
        <w:t>我街对政府信息进行了梳理和编目，20</w:t>
      </w:r>
      <w:r>
        <w:rPr>
          <w:rFonts w:hint="eastAsia" w:ascii="仿宋" w:hAnsi="仿宋" w:eastAsia="仿宋"/>
          <w:sz w:val="32"/>
          <w:szCs w:val="32"/>
          <w:lang w:val="en-US" w:eastAsia="zh-CN"/>
        </w:rPr>
        <w:t>20</w:t>
      </w:r>
      <w:r>
        <w:rPr>
          <w:rFonts w:hint="eastAsia" w:ascii="仿宋" w:hAnsi="仿宋" w:eastAsia="仿宋"/>
          <w:sz w:val="32"/>
          <w:szCs w:val="32"/>
        </w:rPr>
        <w:t>年累计主动公开政府信息</w:t>
      </w:r>
      <w:r>
        <w:rPr>
          <w:rFonts w:hint="eastAsia" w:ascii="仿宋" w:hAnsi="仿宋" w:eastAsia="仿宋"/>
          <w:sz w:val="32"/>
          <w:szCs w:val="32"/>
          <w:lang w:val="en-US" w:eastAsia="zh-CN"/>
        </w:rPr>
        <w:t>0</w:t>
      </w:r>
      <w:r>
        <w:rPr>
          <w:rFonts w:hint="eastAsia" w:ascii="仿宋" w:hAnsi="仿宋" w:eastAsia="仿宋"/>
          <w:sz w:val="32"/>
          <w:szCs w:val="32"/>
        </w:rPr>
        <w:t>条，全文电子化率100%。</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sz w:val="32"/>
          <w:szCs w:val="32"/>
        </w:rPr>
        <w:t>在主动公开的政府文件和信息中，机构职能类信息</w:t>
      </w:r>
      <w:r>
        <w:rPr>
          <w:rFonts w:hint="eastAsia" w:ascii="仿宋" w:hAnsi="仿宋" w:eastAsia="仿宋"/>
          <w:sz w:val="32"/>
          <w:szCs w:val="32"/>
          <w:lang w:val="en-US" w:eastAsia="zh-CN"/>
        </w:rPr>
        <w:t>0</w:t>
      </w:r>
      <w:r>
        <w:rPr>
          <w:rFonts w:hint="eastAsia" w:ascii="仿宋" w:hAnsi="仿宋" w:eastAsia="仿宋"/>
          <w:sz w:val="32"/>
          <w:szCs w:val="32"/>
        </w:rPr>
        <w:t>条；政策、规范性文件类信息0条；重大建设项目、为民办实事类信息</w:t>
      </w:r>
      <w:r>
        <w:rPr>
          <w:rFonts w:hint="eastAsia" w:ascii="仿宋" w:hAnsi="仿宋" w:eastAsia="仿宋"/>
          <w:sz w:val="32"/>
          <w:szCs w:val="32"/>
          <w:lang w:val="en-US" w:eastAsia="zh-CN"/>
        </w:rPr>
        <w:t>0</w:t>
      </w:r>
      <w:r>
        <w:rPr>
          <w:rFonts w:hint="eastAsia" w:ascii="仿宋" w:hAnsi="仿宋" w:eastAsia="仿宋"/>
          <w:sz w:val="32"/>
          <w:szCs w:val="32"/>
        </w:rPr>
        <w:t>条；民政扶贫救灾社保就业类信息</w:t>
      </w:r>
      <w:r>
        <w:rPr>
          <w:rFonts w:hint="eastAsia" w:ascii="仿宋" w:hAnsi="仿宋" w:eastAsia="仿宋"/>
          <w:sz w:val="32"/>
          <w:szCs w:val="32"/>
          <w:lang w:val="en-US" w:eastAsia="zh-CN"/>
        </w:rPr>
        <w:t>0</w:t>
      </w:r>
      <w:r>
        <w:rPr>
          <w:rFonts w:hint="eastAsia" w:ascii="仿宋" w:hAnsi="仿宋" w:eastAsia="仿宋"/>
          <w:sz w:val="32"/>
          <w:szCs w:val="32"/>
        </w:rPr>
        <w:t>条；科教文体卫生类信息</w:t>
      </w:r>
      <w:r>
        <w:rPr>
          <w:rFonts w:hint="eastAsia" w:ascii="仿宋" w:hAnsi="仿宋" w:eastAsia="仿宋"/>
          <w:sz w:val="32"/>
          <w:szCs w:val="32"/>
          <w:lang w:val="en-US" w:eastAsia="zh-CN"/>
        </w:rPr>
        <w:t>0</w:t>
      </w:r>
      <w:r>
        <w:rPr>
          <w:rFonts w:hint="eastAsia" w:ascii="仿宋" w:hAnsi="仿宋" w:eastAsia="仿宋"/>
          <w:sz w:val="32"/>
          <w:szCs w:val="32"/>
        </w:rPr>
        <w:t>条；安全生产、应急管理类信息</w:t>
      </w:r>
      <w:r>
        <w:rPr>
          <w:rFonts w:hint="eastAsia" w:ascii="仿宋" w:hAnsi="仿宋" w:eastAsia="仿宋"/>
          <w:sz w:val="32"/>
          <w:szCs w:val="32"/>
          <w:lang w:val="en-US" w:eastAsia="zh-CN"/>
        </w:rPr>
        <w:t>0</w:t>
      </w:r>
      <w:r>
        <w:rPr>
          <w:rFonts w:hint="eastAsia" w:ascii="仿宋" w:hAnsi="仿宋" w:eastAsia="仿宋"/>
          <w:sz w:val="32"/>
          <w:szCs w:val="32"/>
        </w:rPr>
        <w:t>条。</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5"/>
        <w:gridCol w:w="2097"/>
        <w:gridCol w:w="1573"/>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883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35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制作数量</w:t>
            </w:r>
          </w:p>
        </w:tc>
        <w:tc>
          <w:tcPr>
            <w:tcW w:w="15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公开数量</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5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000000"/>
                <w:kern w:val="0"/>
                <w:sz w:val="21"/>
                <w:szCs w:val="21"/>
              </w:rPr>
              <w:t>规章</w:t>
            </w:r>
            <w:r>
              <w:rPr>
                <w:rFonts w:hint="eastAsia" w:ascii="宋体" w:hAnsi="宋体" w:eastAsia="宋体" w:cs="宋体"/>
                <w:color w:val="000000"/>
                <w:kern w:val="0"/>
                <w:sz w:val="21"/>
                <w:szCs w:val="21"/>
                <w:lang w:eastAsia="zh-CN"/>
              </w:rPr>
              <w:t>（设区的市、自治州人民政府应提供相关数据）</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5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5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333333"/>
                <w:kern w:val="0"/>
                <w:sz w:val="21"/>
                <w:szCs w:val="21"/>
                <w:lang w:eastAsia="zh-CN"/>
              </w:rPr>
              <w:t>规范性文件(行政机关制定发布的决定、公告、通告、意见、通知，以及标题采用“规定”“办法”“细则”“规范”“规程”“规则”等字样的公文，一般情况下属于规范性文件)</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5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35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000000"/>
                <w:kern w:val="0"/>
                <w:sz w:val="21"/>
                <w:szCs w:val="21"/>
                <w:lang w:eastAsia="zh-CN"/>
              </w:rPr>
              <w:t>其他主动公开文件（含以本单位或本单位办公室名义正式签发的、除规范性文件以外的主动公开文件，可参考本单位政府信息公开平台“其他主动公开文件”栏目数据）</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82</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883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35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2019年事项数</w:t>
            </w:r>
            <w:r>
              <w:rPr>
                <w:rFonts w:hint="eastAsia" w:ascii="宋体" w:hAnsi="宋体" w:eastAsia="宋体" w:cs="宋体"/>
                <w:color w:val="000000"/>
                <w:kern w:val="0"/>
                <w:sz w:val="21"/>
                <w:szCs w:val="21"/>
                <w:lang w:eastAsia="zh-CN"/>
              </w:rPr>
              <w:t>）</w:t>
            </w:r>
          </w:p>
        </w:tc>
        <w:tc>
          <w:tcPr>
            <w:tcW w:w="15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2020年增加或减少的事项数，减用负值表示，如-8</w:t>
            </w:r>
            <w:r>
              <w:rPr>
                <w:rFonts w:hint="eastAsia" w:ascii="宋体" w:hAnsi="宋体" w:eastAsia="宋体" w:cs="宋体"/>
                <w:color w:val="000000"/>
                <w:kern w:val="0"/>
                <w:sz w:val="21"/>
                <w:szCs w:val="21"/>
                <w:lang w:eastAsia="zh-CN"/>
              </w:rPr>
              <w:t>）</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2020年办件量</w:t>
            </w:r>
            <w:r>
              <w:rPr>
                <w:rFonts w:hint="eastAsia" w:ascii="宋体" w:hAnsi="宋体" w:eastAsia="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35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行政许可</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29</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-3</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35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其他对外管理服务事项</w:t>
            </w:r>
            <w:r>
              <w:rPr>
                <w:rFonts w:hint="eastAsia" w:ascii="宋体" w:hAnsi="宋体" w:eastAsia="宋体" w:cs="宋体"/>
                <w:color w:val="333333"/>
                <w:kern w:val="0"/>
                <w:sz w:val="21"/>
                <w:szCs w:val="21"/>
                <w:lang w:eastAsia="zh-CN"/>
              </w:rPr>
              <w:t>（</w:t>
            </w:r>
            <w:r>
              <w:rPr>
                <w:rFonts w:hint="eastAsia" w:ascii="宋体" w:hAnsi="宋体" w:eastAsia="宋体" w:cs="宋体"/>
                <w:color w:val="333333"/>
                <w:kern w:val="0"/>
                <w:sz w:val="21"/>
                <w:szCs w:val="21"/>
                <w:lang w:val="en-US" w:eastAsia="zh-CN"/>
              </w:rPr>
              <w:t>指行政许可以外的政务服务事项，含行政确认、行政奖励、行政裁决、行政给付、行政处罚、行政强制、行政检查、行政征收和其他类，以及公共服务事项</w:t>
            </w:r>
            <w:r>
              <w:rPr>
                <w:rFonts w:hint="eastAsia" w:ascii="宋体" w:hAnsi="宋体" w:eastAsia="宋体" w:cs="宋体"/>
                <w:color w:val="333333"/>
                <w:kern w:val="0"/>
                <w:sz w:val="21"/>
                <w:szCs w:val="21"/>
                <w:lang w:eastAsia="zh-CN"/>
              </w:rPr>
              <w:t>）</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78</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+56</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11265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883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2019年事项数</w:t>
            </w:r>
            <w:r>
              <w:rPr>
                <w:rFonts w:hint="eastAsia" w:ascii="宋体" w:hAnsi="宋体" w:eastAsia="宋体" w:cs="宋体"/>
                <w:color w:val="000000"/>
                <w:kern w:val="0"/>
                <w:sz w:val="21"/>
                <w:szCs w:val="21"/>
                <w:lang w:eastAsia="zh-CN"/>
              </w:rPr>
              <w:t>）</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2020年增加或减少的事项数，减用负值表示，如-8</w:t>
            </w:r>
            <w:r>
              <w:rPr>
                <w:rFonts w:hint="eastAsia" w:ascii="宋体" w:hAnsi="宋体" w:eastAsia="宋体" w:cs="宋体"/>
                <w:color w:val="000000"/>
                <w:kern w:val="0"/>
                <w:sz w:val="21"/>
                <w:szCs w:val="21"/>
                <w:lang w:eastAsia="zh-CN"/>
              </w:rPr>
              <w:t>）</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2020年办件量</w:t>
            </w:r>
            <w:r>
              <w:rPr>
                <w:rFonts w:hint="eastAsia" w:ascii="宋体" w:hAnsi="宋体" w:eastAsia="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行政处罚</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10</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+2</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行政强制</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883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2019年收费项目数</w:t>
            </w:r>
            <w:r>
              <w:rPr>
                <w:rFonts w:hint="eastAsia" w:ascii="宋体" w:hAnsi="宋体" w:eastAsia="宋体" w:cs="宋体"/>
                <w:color w:val="000000"/>
                <w:kern w:val="0"/>
                <w:sz w:val="21"/>
                <w:szCs w:val="21"/>
                <w:lang w:eastAsia="zh-CN"/>
              </w:rPr>
              <w:t>）</w:t>
            </w:r>
          </w:p>
        </w:tc>
        <w:tc>
          <w:tcPr>
            <w:tcW w:w="321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2020年增加的收费项目数，减用负值表示，如-8</w:t>
            </w:r>
            <w:r>
              <w:rPr>
                <w:rFonts w:hint="eastAsia" w:ascii="宋体" w:hAnsi="宋体" w:eastAsia="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35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行政事业性收费</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321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883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5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2020年以政府集中采购方式采购的项目总个数</w:t>
            </w:r>
            <w:r>
              <w:rPr>
                <w:rFonts w:hint="eastAsia" w:ascii="宋体" w:hAnsi="宋体" w:eastAsia="宋体" w:cs="宋体"/>
                <w:color w:val="000000"/>
                <w:kern w:val="0"/>
                <w:sz w:val="21"/>
                <w:szCs w:val="21"/>
                <w:lang w:eastAsia="zh-CN"/>
              </w:rPr>
              <w:t>）</w:t>
            </w:r>
          </w:p>
        </w:tc>
        <w:tc>
          <w:tcPr>
            <w:tcW w:w="321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采购总金额</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2020年以政府集中采购方式采购的项目已支付的总金额</w:t>
            </w:r>
            <w:r>
              <w:rPr>
                <w:rFonts w:hint="eastAsia" w:ascii="宋体" w:hAnsi="宋体" w:eastAsia="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5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政府集中采购</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27</w:t>
            </w:r>
          </w:p>
        </w:tc>
        <w:tc>
          <w:tcPr>
            <w:tcW w:w="321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7027733元</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三、行政机关收到和处理政府信息公开申请情况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2020年</w:t>
      </w:r>
      <w:r>
        <w:rPr>
          <w:rFonts w:hint="eastAsia" w:ascii="仿宋_GB2312" w:hAnsi="宋体" w:eastAsia="仿宋_GB2312" w:cs="仿宋_GB2312"/>
          <w:i w:val="0"/>
          <w:caps w:val="0"/>
          <w:color w:val="333333"/>
          <w:spacing w:val="0"/>
          <w:sz w:val="32"/>
          <w:szCs w:val="32"/>
          <w:u w:val="none"/>
          <w:shd w:val="clear" w:fill="FFFFFF"/>
          <w:lang w:eastAsia="zh-CN"/>
        </w:rPr>
        <w:t>汉阳</w:t>
      </w:r>
      <w:r>
        <w:rPr>
          <w:rFonts w:ascii="仿宋_GB2312" w:hAnsi="宋体" w:eastAsia="仿宋_GB2312" w:cs="仿宋_GB2312"/>
          <w:i w:val="0"/>
          <w:caps w:val="0"/>
          <w:color w:val="333333"/>
          <w:spacing w:val="0"/>
          <w:sz w:val="32"/>
          <w:szCs w:val="32"/>
          <w:u w:val="none"/>
          <w:shd w:val="clear" w:fill="FFFFFF"/>
        </w:rPr>
        <w:t>区</w:t>
      </w:r>
      <w:r>
        <w:rPr>
          <w:rFonts w:hint="eastAsia" w:ascii="仿宋_GB2312" w:hAnsi="宋体" w:eastAsia="仿宋_GB2312" w:cs="仿宋_GB2312"/>
          <w:i w:val="0"/>
          <w:caps w:val="0"/>
          <w:color w:val="333333"/>
          <w:spacing w:val="0"/>
          <w:sz w:val="32"/>
          <w:szCs w:val="32"/>
          <w:u w:val="none"/>
          <w:shd w:val="clear" w:fill="FFFFFF"/>
          <w:lang w:val="en-US" w:eastAsia="zh-CN"/>
        </w:rPr>
        <w:t>琴断口</w:t>
      </w:r>
      <w:r>
        <w:rPr>
          <w:rFonts w:hint="eastAsia" w:ascii="仿宋_GB2312" w:hAnsi="宋体" w:eastAsia="仿宋_GB2312" w:cs="仿宋_GB2312"/>
          <w:i w:val="0"/>
          <w:caps w:val="0"/>
          <w:color w:val="333333"/>
          <w:spacing w:val="0"/>
          <w:sz w:val="32"/>
          <w:szCs w:val="32"/>
          <w:shd w:val="clear" w:fill="FFFFFF"/>
          <w:lang w:val="en-US" w:eastAsia="zh-CN"/>
        </w:rPr>
        <w:t>街道办事处</w:t>
      </w:r>
      <w:r>
        <w:rPr>
          <w:rFonts w:hint="eastAsia" w:ascii="仿宋_GB2312" w:hAnsi="仿宋_GB2312" w:eastAsia="仿宋_GB2312" w:cs="仿宋_GB2312"/>
          <w:i w:val="0"/>
          <w:caps w:val="0"/>
          <w:color w:val="auto"/>
          <w:spacing w:val="0"/>
          <w:sz w:val="32"/>
          <w:szCs w:val="32"/>
          <w:shd w:val="clear" w:color="auto" w:fill="FFFFFF"/>
          <w:lang w:val="en-US" w:eastAsia="zh-CN"/>
        </w:rPr>
        <w:t>注重规范政府信息依申请公开办理工作，更好地保障公民、法人和其他组织依法获取政府信息。全年接收政府信息公开申请0件。其中结转上年度0件，自然人0件，商业企业0件，已按要求答复0件，0件尚未答复，无结转至2021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caps w:val="0"/>
          <w:color w:val="333333"/>
          <w:spacing w:val="0"/>
          <w:sz w:val="32"/>
          <w:szCs w:val="32"/>
          <w:u w:val="none"/>
          <w:shd w:val="clear" w:fill="FFFFFF"/>
          <w:lang w:val="en-US" w:eastAsia="zh-CN"/>
        </w:rPr>
      </w:pPr>
      <w:r>
        <w:rPr>
          <w:rFonts w:ascii="仿宋_GB2312" w:hAnsi="宋体" w:eastAsia="仿宋_GB2312" w:cs="仿宋_GB2312"/>
          <w:i w:val="0"/>
          <w:caps w:val="0"/>
          <w:color w:val="333333"/>
          <w:spacing w:val="0"/>
          <w:sz w:val="32"/>
          <w:szCs w:val="32"/>
          <w:u w:val="none"/>
          <w:shd w:val="clear" w:fill="FFFFFF"/>
        </w:rPr>
        <w:t>20</w:t>
      </w:r>
      <w:r>
        <w:rPr>
          <w:rFonts w:hint="eastAsia" w:ascii="仿宋_GB2312" w:hAnsi="宋体" w:eastAsia="仿宋_GB2312" w:cs="仿宋_GB2312"/>
          <w:i w:val="0"/>
          <w:caps w:val="0"/>
          <w:color w:val="333333"/>
          <w:spacing w:val="0"/>
          <w:sz w:val="32"/>
          <w:szCs w:val="32"/>
          <w:u w:val="none"/>
          <w:shd w:val="clear" w:fill="FFFFFF"/>
          <w:lang w:val="en-US" w:eastAsia="zh-CN"/>
        </w:rPr>
        <w:t>20</w:t>
      </w:r>
      <w:r>
        <w:rPr>
          <w:rFonts w:ascii="仿宋_GB2312" w:hAnsi="宋体" w:eastAsia="仿宋_GB2312" w:cs="仿宋_GB2312"/>
          <w:i w:val="0"/>
          <w:caps w:val="0"/>
          <w:color w:val="333333"/>
          <w:spacing w:val="0"/>
          <w:sz w:val="32"/>
          <w:szCs w:val="32"/>
          <w:u w:val="none"/>
          <w:shd w:val="clear" w:fill="FFFFFF"/>
        </w:rPr>
        <w:t>年</w:t>
      </w:r>
      <w:r>
        <w:rPr>
          <w:rFonts w:hint="eastAsia" w:ascii="仿宋_GB2312" w:hAnsi="宋体" w:eastAsia="仿宋_GB2312" w:cs="仿宋_GB2312"/>
          <w:i w:val="0"/>
          <w:caps w:val="0"/>
          <w:color w:val="333333"/>
          <w:spacing w:val="0"/>
          <w:sz w:val="32"/>
          <w:szCs w:val="32"/>
          <w:u w:val="none"/>
          <w:shd w:val="clear" w:fill="FFFFFF"/>
          <w:lang w:eastAsia="zh-CN"/>
        </w:rPr>
        <w:t>汉阳</w:t>
      </w:r>
      <w:r>
        <w:rPr>
          <w:rFonts w:ascii="仿宋_GB2312" w:hAnsi="宋体" w:eastAsia="仿宋_GB2312" w:cs="仿宋_GB2312"/>
          <w:i w:val="0"/>
          <w:caps w:val="0"/>
          <w:color w:val="333333"/>
          <w:spacing w:val="0"/>
          <w:sz w:val="32"/>
          <w:szCs w:val="32"/>
          <w:u w:val="none"/>
          <w:shd w:val="clear" w:fill="FFFFFF"/>
        </w:rPr>
        <w:t>区</w:t>
      </w:r>
      <w:r>
        <w:rPr>
          <w:rFonts w:hint="eastAsia" w:ascii="仿宋_GB2312" w:hAnsi="宋体" w:eastAsia="仿宋_GB2312" w:cs="仿宋_GB2312"/>
          <w:i w:val="0"/>
          <w:caps w:val="0"/>
          <w:color w:val="333333"/>
          <w:spacing w:val="0"/>
          <w:sz w:val="32"/>
          <w:szCs w:val="32"/>
          <w:u w:val="none"/>
          <w:shd w:val="clear" w:fill="FFFFFF"/>
          <w:lang w:val="en-US" w:eastAsia="zh-CN"/>
        </w:rPr>
        <w:t>琴断口</w:t>
      </w:r>
      <w:r>
        <w:rPr>
          <w:rFonts w:hint="eastAsia" w:ascii="仿宋_GB2312" w:hAnsi="宋体" w:eastAsia="仿宋_GB2312" w:cs="仿宋_GB2312"/>
          <w:i w:val="0"/>
          <w:caps w:val="0"/>
          <w:color w:val="333333"/>
          <w:spacing w:val="0"/>
          <w:sz w:val="32"/>
          <w:szCs w:val="32"/>
          <w:shd w:val="clear" w:fill="FFFFFF"/>
          <w:lang w:val="en-US" w:eastAsia="zh-CN"/>
        </w:rPr>
        <w:t>街道办事处</w:t>
      </w:r>
      <w:r>
        <w:rPr>
          <w:rFonts w:hint="eastAsia" w:ascii="仿宋_GB2312" w:hAnsi="宋体" w:eastAsia="仿宋_GB2312" w:cs="仿宋_GB2312"/>
          <w:i w:val="0"/>
          <w:caps w:val="0"/>
          <w:color w:val="333333"/>
          <w:spacing w:val="0"/>
          <w:sz w:val="32"/>
          <w:szCs w:val="32"/>
          <w:u w:val="none"/>
          <w:shd w:val="clear" w:fill="FFFFFF"/>
          <w:lang w:val="en-US" w:eastAsia="zh-CN"/>
        </w:rPr>
        <w:t>未收到和处理政府信息公开申请。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722"/>
        <w:gridCol w:w="1993"/>
        <w:gridCol w:w="826"/>
        <w:gridCol w:w="690"/>
        <w:gridCol w:w="690"/>
        <w:gridCol w:w="750"/>
        <w:gridCol w:w="905"/>
        <w:gridCol w:w="671"/>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（本列数据的勾稽关系为：第一项加第二项之和，等于第三项加第四项之和）</w:t>
            </w:r>
          </w:p>
        </w:tc>
        <w:tc>
          <w:tcPr>
            <w:tcW w:w="518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826"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自然人</w:t>
            </w:r>
          </w:p>
        </w:tc>
        <w:tc>
          <w:tcPr>
            <w:tcW w:w="3706"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法人或其他组织</w:t>
            </w:r>
          </w:p>
        </w:tc>
        <w:tc>
          <w:tcPr>
            <w:tcW w:w="65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46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826"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商业企业</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科研机构</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社会公益组织</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法律服务机构</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其他</w:t>
            </w:r>
          </w:p>
        </w:tc>
        <w:tc>
          <w:tcPr>
            <w:tcW w:w="65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一、本年新收政府信息公开申请数量</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二、上年结转政府信息公开申请数量</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三、本年度办理结果</w:t>
            </w: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（一）予以公开</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（二）部分公开（区分处理的，只计这一情形，不计其他情形）</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（三）不予公开</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1.属于国家秘密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2.其他法律行政法规禁止公开</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3.危及“三安全一稳定”</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4.保护第三方合法权益</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5.属于三类内部事务信息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6.属于四类过程性信息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7.属于行政执法案卷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8.属于行政查询事项</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（四）无法提供</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1.本机关不掌握相关政府信息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2.没有现成信息需要另行制作</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3.补正后申请内容仍不明确</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（五）不予处理</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1.信访举报投诉类申请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2.重复申请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3.要求提供公开出版物</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4.无正当理由大量反复申请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5.要求行政机关确认或重新出具已获取信息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（六）其他处理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（七）总计</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四、结转下年度继续办理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i w:val="0"/>
          <w:caps w:val="0"/>
          <w:color w:val="333333"/>
          <w:spacing w:val="0"/>
          <w:sz w:val="32"/>
          <w:szCs w:val="32"/>
          <w:u w:val="none"/>
          <w:shd w:val="clear" w:fill="FFFFFF"/>
          <w:lang w:val="en-US" w:eastAsia="zh-CN"/>
        </w:rPr>
      </w:pPr>
      <w:r>
        <w:rPr>
          <w:rFonts w:hint="eastAsia" w:ascii="黑体" w:hAnsi="黑体" w:eastAsia="黑体" w:cs="黑体"/>
          <w:b w:val="0"/>
          <w:bCs w:val="0"/>
          <w:i w:val="0"/>
          <w:caps w:val="0"/>
          <w:color w:val="333333"/>
          <w:spacing w:val="0"/>
          <w:sz w:val="32"/>
          <w:szCs w:val="32"/>
          <w:u w:val="none"/>
          <w:shd w:val="clear" w:fill="FFFFFF"/>
          <w:lang w:val="en-US" w:eastAsia="zh-CN"/>
        </w:rPr>
        <w:t>四、因政府信息公开工作被申请行政复议、提起行政诉讼情况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caps w:val="0"/>
          <w:color w:val="333333"/>
          <w:spacing w:val="0"/>
          <w:sz w:val="32"/>
          <w:szCs w:val="32"/>
          <w:shd w:val="clear" w:fill="FFFFFF"/>
          <w:lang w:val="en-US" w:eastAsia="zh-CN"/>
        </w:rPr>
      </w:pPr>
      <w:r>
        <w:rPr>
          <w:rFonts w:ascii="仿宋_GB2312" w:hAnsi="宋体" w:eastAsia="仿宋_GB2312" w:cs="仿宋_GB2312"/>
          <w:i w:val="0"/>
          <w:caps w:val="0"/>
          <w:color w:val="333333"/>
          <w:spacing w:val="0"/>
          <w:sz w:val="32"/>
          <w:szCs w:val="32"/>
          <w:shd w:val="clear" w:fill="FFFFFF"/>
        </w:rPr>
        <w:t>20</w:t>
      </w:r>
      <w:r>
        <w:rPr>
          <w:rFonts w:hint="eastAsia" w:ascii="仿宋_GB2312" w:hAnsi="宋体" w:eastAsia="仿宋_GB2312" w:cs="仿宋_GB2312"/>
          <w:i w:val="0"/>
          <w:caps w:val="0"/>
          <w:color w:val="333333"/>
          <w:spacing w:val="0"/>
          <w:sz w:val="32"/>
          <w:szCs w:val="32"/>
          <w:shd w:val="clear" w:fill="FFFFFF"/>
          <w:lang w:val="en-US" w:eastAsia="zh-CN"/>
        </w:rPr>
        <w:t>20</w:t>
      </w:r>
      <w:r>
        <w:rPr>
          <w:rFonts w:ascii="仿宋_GB2312" w:hAnsi="宋体" w:eastAsia="仿宋_GB2312" w:cs="仿宋_GB2312"/>
          <w:i w:val="0"/>
          <w:caps w:val="0"/>
          <w:color w:val="333333"/>
          <w:spacing w:val="0"/>
          <w:sz w:val="32"/>
          <w:szCs w:val="32"/>
          <w:shd w:val="clear" w:fill="FFFFFF"/>
        </w:rPr>
        <w:t>年度，</w:t>
      </w:r>
      <w:r>
        <w:rPr>
          <w:rFonts w:hint="eastAsia" w:ascii="仿宋_GB2312" w:hAnsi="宋体" w:eastAsia="仿宋_GB2312" w:cs="仿宋_GB2312"/>
          <w:i w:val="0"/>
          <w:caps w:val="0"/>
          <w:color w:val="333333"/>
          <w:spacing w:val="0"/>
          <w:sz w:val="32"/>
          <w:szCs w:val="32"/>
          <w:shd w:val="clear" w:fill="FFFFFF"/>
          <w:lang w:eastAsia="zh-CN"/>
        </w:rPr>
        <w:t>汉阳区</w:t>
      </w:r>
      <w:r>
        <w:rPr>
          <w:rFonts w:hint="eastAsia" w:ascii="仿宋_GB2312" w:hAnsi="宋体" w:eastAsia="仿宋_GB2312" w:cs="仿宋_GB2312"/>
          <w:i w:val="0"/>
          <w:caps w:val="0"/>
          <w:color w:val="333333"/>
          <w:spacing w:val="0"/>
          <w:sz w:val="32"/>
          <w:szCs w:val="32"/>
          <w:shd w:val="clear" w:fill="FFFFFF"/>
          <w:lang w:val="en-US" w:eastAsia="zh-CN"/>
        </w:rPr>
        <w:t>琴断口街道办事处</w:t>
      </w:r>
      <w:r>
        <w:rPr>
          <w:rFonts w:hint="eastAsia" w:ascii="仿宋_GB2312" w:hAnsi="宋体" w:eastAsia="仿宋_GB2312" w:cs="仿宋_GB2312"/>
          <w:i w:val="0"/>
          <w:caps w:val="0"/>
          <w:color w:val="333333"/>
          <w:spacing w:val="0"/>
          <w:sz w:val="32"/>
          <w:szCs w:val="32"/>
          <w:shd w:val="clear" w:fill="FFFFFF"/>
          <w:lang w:eastAsia="zh-CN"/>
        </w:rPr>
        <w:t>无</w:t>
      </w:r>
      <w:r>
        <w:rPr>
          <w:rFonts w:hint="default" w:ascii="仿宋_GB2312" w:hAnsi="宋体" w:eastAsia="仿宋_GB2312" w:cs="仿宋_GB2312"/>
          <w:i w:val="0"/>
          <w:caps w:val="0"/>
          <w:color w:val="333333"/>
          <w:spacing w:val="0"/>
          <w:sz w:val="32"/>
          <w:szCs w:val="32"/>
          <w:shd w:val="clear" w:fill="FFFFFF"/>
        </w:rPr>
        <w:t>因政府信息公开工作被提起行政诉讼</w:t>
      </w:r>
      <w:r>
        <w:rPr>
          <w:rFonts w:hint="eastAsia" w:ascii="仿宋_GB2312" w:hAnsi="宋体" w:eastAsia="仿宋_GB2312" w:cs="仿宋_GB2312"/>
          <w:i w:val="0"/>
          <w:caps w:val="0"/>
          <w:color w:val="333333"/>
          <w:spacing w:val="0"/>
          <w:sz w:val="32"/>
          <w:szCs w:val="32"/>
          <w:shd w:val="clear" w:fill="FFFFFF"/>
          <w:lang w:val="en-US"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4"/>
        <w:gridCol w:w="564"/>
        <w:gridCol w:w="564"/>
        <w:gridCol w:w="625"/>
        <w:gridCol w:w="515"/>
        <w:gridCol w:w="567"/>
        <w:gridCol w:w="567"/>
        <w:gridCol w:w="567"/>
        <w:gridCol w:w="574"/>
        <w:gridCol w:w="567"/>
        <w:gridCol w:w="568"/>
        <w:gridCol w:w="568"/>
        <w:gridCol w:w="568"/>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行政复议</w:t>
            </w:r>
          </w:p>
        </w:tc>
        <w:tc>
          <w:tcPr>
            <w:tcW w:w="563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结果维持</w:t>
            </w:r>
          </w:p>
        </w:tc>
        <w:tc>
          <w:tcPr>
            <w:tcW w:w="564"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结果纠正</w:t>
            </w:r>
          </w:p>
        </w:tc>
        <w:tc>
          <w:tcPr>
            <w:tcW w:w="56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其他结果</w:t>
            </w:r>
          </w:p>
        </w:tc>
        <w:tc>
          <w:tcPr>
            <w:tcW w:w="56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尚未审结</w:t>
            </w:r>
          </w:p>
        </w:tc>
        <w:tc>
          <w:tcPr>
            <w:tcW w:w="62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总计</w:t>
            </w:r>
          </w:p>
        </w:tc>
        <w:tc>
          <w:tcPr>
            <w:tcW w:w="279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未经复议直接起诉</w:t>
            </w:r>
          </w:p>
        </w:tc>
        <w:tc>
          <w:tcPr>
            <w:tcW w:w="284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auto"/>
                <w:kern w:val="0"/>
                <w:sz w:val="21"/>
                <w:szCs w:val="21"/>
              </w:rPr>
            </w:pPr>
          </w:p>
        </w:tc>
        <w:tc>
          <w:tcPr>
            <w:tcW w:w="564"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auto"/>
                <w:kern w:val="0"/>
                <w:sz w:val="21"/>
                <w:szCs w:val="21"/>
              </w:rPr>
            </w:pPr>
          </w:p>
        </w:tc>
        <w:tc>
          <w:tcPr>
            <w:tcW w:w="56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auto"/>
                <w:kern w:val="0"/>
                <w:sz w:val="21"/>
                <w:szCs w:val="21"/>
              </w:rPr>
            </w:pPr>
          </w:p>
        </w:tc>
        <w:tc>
          <w:tcPr>
            <w:tcW w:w="56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auto"/>
                <w:kern w:val="0"/>
                <w:sz w:val="21"/>
                <w:szCs w:val="21"/>
              </w:rPr>
            </w:pPr>
          </w:p>
        </w:tc>
        <w:tc>
          <w:tcPr>
            <w:tcW w:w="62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auto"/>
                <w:kern w:val="0"/>
                <w:sz w:val="21"/>
                <w:szCs w:val="21"/>
              </w:rPr>
            </w:pPr>
          </w:p>
        </w:tc>
        <w:tc>
          <w:tcPr>
            <w:tcW w:w="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结果维持</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结果纠正</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其他结果</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尚未审结</w:t>
            </w:r>
          </w:p>
        </w:tc>
        <w:tc>
          <w:tcPr>
            <w:tcW w:w="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总计</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结果维持</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结果纠正</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其他结果</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尚未审结</w:t>
            </w:r>
          </w:p>
        </w:tc>
        <w:tc>
          <w:tcPr>
            <w:tcW w:w="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rPr>
            </w:pP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rPr>
            </w:pPr>
          </w:p>
        </w:tc>
        <w:tc>
          <w:tcPr>
            <w:tcW w:w="6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rPr>
            </w:pPr>
          </w:p>
        </w:tc>
        <w:tc>
          <w:tcPr>
            <w:tcW w:w="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rPr>
            </w:pPr>
          </w:p>
        </w:tc>
        <w:tc>
          <w:tcPr>
            <w:tcW w:w="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rPr>
            </w:pP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p>
        </w:tc>
        <w:tc>
          <w:tcPr>
            <w:tcW w:w="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r>
    </w:tbl>
    <w:p>
      <w:pPr>
        <w:keepNext w:val="0"/>
        <w:keepLines w:val="0"/>
        <w:pageBreakBefore w:val="0"/>
        <w:numPr>
          <w:ilvl w:val="0"/>
          <w:numId w:val="0"/>
        </w:numPr>
        <w:kinsoku/>
        <w:wordWrap/>
        <w:overflowPunct/>
        <w:topLinePunct w:val="0"/>
        <w:autoSpaceDE/>
        <w:autoSpaceDN/>
        <w:bidi w:val="0"/>
        <w:spacing w:line="560" w:lineRule="exact"/>
        <w:ind w:firstLine="642"/>
        <w:jc w:val="both"/>
        <w:textAlignment w:val="auto"/>
        <w:rPr>
          <w:rFonts w:hint="default" w:ascii="仿宋_GB2312" w:hAnsi="宋体" w:eastAsia="仿宋_GB2312" w:cs="仿宋_GB2312"/>
          <w:i w:val="0"/>
          <w:caps w:val="0"/>
          <w:color w:val="333333"/>
          <w:spacing w:val="0"/>
          <w:sz w:val="32"/>
          <w:szCs w:val="32"/>
          <w:shd w:val="clear" w:fill="FFFFFF"/>
          <w:lang w:val="en-US" w:eastAsia="zh-CN"/>
        </w:rPr>
      </w:pPr>
    </w:p>
    <w:p>
      <w:pPr>
        <w:keepNext w:val="0"/>
        <w:keepLines w:val="0"/>
        <w:pageBreakBefore w:val="0"/>
        <w:numPr>
          <w:ilvl w:val="0"/>
          <w:numId w:val="1"/>
        </w:numPr>
        <w:kinsoku/>
        <w:wordWrap/>
        <w:overflowPunct/>
        <w:topLinePunct w:val="0"/>
        <w:autoSpaceDE/>
        <w:autoSpaceDN/>
        <w:bidi w:val="0"/>
        <w:spacing w:line="560" w:lineRule="exact"/>
        <w:ind w:firstLine="642"/>
        <w:jc w:val="both"/>
        <w:textAlignment w:val="auto"/>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政府信息公开工作存在的问题及改进情况</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宋体" w:eastAsia="仿宋_GB2312" w:cs="仿宋_GB2312"/>
          <w:b w:val="0"/>
          <w:bCs w:val="0"/>
          <w:i w:val="0"/>
          <w:caps w:val="0"/>
          <w:color w:val="333333"/>
          <w:spacing w:val="0"/>
          <w:sz w:val="32"/>
          <w:szCs w:val="32"/>
          <w:shd w:val="clear" w:fill="FFFFFF"/>
          <w:lang w:val="en-US" w:eastAsia="zh-CN"/>
        </w:rPr>
      </w:pPr>
      <w:r>
        <w:rPr>
          <w:rFonts w:hint="eastAsia" w:ascii="仿宋_GB2312" w:hAnsi="宋体" w:eastAsia="仿宋_GB2312" w:cs="仿宋_GB2312"/>
          <w:b w:val="0"/>
          <w:bCs w:val="0"/>
          <w:i w:val="0"/>
          <w:caps w:val="0"/>
          <w:color w:val="333333"/>
          <w:spacing w:val="0"/>
          <w:sz w:val="32"/>
          <w:szCs w:val="32"/>
          <w:shd w:val="clear" w:fill="FFFFFF"/>
          <w:lang w:val="en-US" w:eastAsia="zh-CN"/>
        </w:rPr>
        <w:t>我街努力办理政府信息公开工作，有力地促进了街道开展其他各项工作，政府信息公开工作取得了一些成绩但与上级的要求还有一定的差距，例如信息公开工作总体开展得还不购平衡、公开的内容还需进一步深化、部分动态信息发布得还不够及时等等。这些问题在今后工作中需要工作人员认真加以解决以满足群众对政府公开信息日益增长的需求。</w:t>
      </w:r>
    </w:p>
    <w:p>
      <w:pPr>
        <w:keepNext w:val="0"/>
        <w:keepLines w:val="0"/>
        <w:pageBreakBefore w:val="0"/>
        <w:numPr>
          <w:ilvl w:val="0"/>
          <w:numId w:val="0"/>
        </w:numPr>
        <w:kinsoku/>
        <w:wordWrap/>
        <w:overflowPunct/>
        <w:topLinePunct w:val="0"/>
        <w:autoSpaceDE/>
        <w:autoSpaceDN/>
        <w:bidi w:val="0"/>
        <w:spacing w:line="560" w:lineRule="exact"/>
        <w:ind w:left="642" w:leftChars="0"/>
        <w:jc w:val="both"/>
        <w:textAlignment w:val="auto"/>
        <w:rPr>
          <w:rFonts w:hint="eastAsia" w:ascii="仿宋_GB2312" w:hAnsi="宋体" w:eastAsia="仿宋_GB2312" w:cs="仿宋_GB2312"/>
          <w:b/>
          <w:bCs/>
          <w:i w:val="0"/>
          <w:caps w:val="0"/>
          <w:color w:val="333333"/>
          <w:spacing w:val="0"/>
          <w:sz w:val="32"/>
          <w:szCs w:val="32"/>
          <w:shd w:val="clear" w:fill="FFFFFF"/>
          <w:lang w:val="en-US" w:eastAsia="zh-CN"/>
        </w:rPr>
      </w:pPr>
    </w:p>
    <w:p>
      <w:pPr>
        <w:keepNext w:val="0"/>
        <w:keepLines w:val="0"/>
        <w:pageBreakBefore w:val="0"/>
        <w:numPr>
          <w:ilvl w:val="0"/>
          <w:numId w:val="1"/>
        </w:numPr>
        <w:kinsoku/>
        <w:wordWrap/>
        <w:overflowPunct/>
        <w:topLinePunct w:val="0"/>
        <w:autoSpaceDE/>
        <w:autoSpaceDN/>
        <w:bidi w:val="0"/>
        <w:spacing w:line="560" w:lineRule="exact"/>
        <w:ind w:left="0" w:leftChars="0" w:firstLine="642" w:firstLineChars="0"/>
        <w:jc w:val="both"/>
        <w:textAlignment w:val="auto"/>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其他需要报告的事项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ascii="仿宋_GB2312" w:hAnsi="宋体" w:eastAsia="仿宋_GB2312" w:cs="仿宋_GB2312"/>
          <w:i w:val="0"/>
          <w:caps w:val="0"/>
          <w:color w:val="333333"/>
          <w:spacing w:val="0"/>
          <w:sz w:val="32"/>
          <w:szCs w:val="32"/>
          <w:shd w:val="clear" w:fill="FFFFFF"/>
        </w:rPr>
        <w:t>20</w:t>
      </w:r>
      <w:r>
        <w:rPr>
          <w:rFonts w:hint="eastAsia" w:ascii="仿宋_GB2312" w:hAnsi="宋体" w:eastAsia="仿宋_GB2312" w:cs="仿宋_GB2312"/>
          <w:i w:val="0"/>
          <w:caps w:val="0"/>
          <w:color w:val="333333"/>
          <w:spacing w:val="0"/>
          <w:sz w:val="32"/>
          <w:szCs w:val="32"/>
          <w:shd w:val="clear" w:fill="FFFFFF"/>
          <w:lang w:val="en-US" w:eastAsia="zh-CN"/>
        </w:rPr>
        <w:t>20</w:t>
      </w:r>
      <w:r>
        <w:rPr>
          <w:rFonts w:ascii="仿宋_GB2312" w:hAnsi="宋体" w:eastAsia="仿宋_GB2312" w:cs="仿宋_GB2312"/>
          <w:i w:val="0"/>
          <w:caps w:val="0"/>
          <w:color w:val="333333"/>
          <w:spacing w:val="0"/>
          <w:sz w:val="32"/>
          <w:szCs w:val="32"/>
          <w:shd w:val="clear" w:fill="FFFFFF"/>
        </w:rPr>
        <w:t>年度，</w:t>
      </w:r>
      <w:r>
        <w:rPr>
          <w:rFonts w:hint="eastAsia" w:ascii="仿宋_GB2312" w:hAnsi="宋体" w:eastAsia="仿宋_GB2312" w:cs="仿宋_GB2312"/>
          <w:i w:val="0"/>
          <w:caps w:val="0"/>
          <w:color w:val="333333"/>
          <w:spacing w:val="0"/>
          <w:sz w:val="32"/>
          <w:szCs w:val="32"/>
          <w:shd w:val="clear" w:fill="FFFFFF"/>
          <w:lang w:eastAsia="zh-CN"/>
        </w:rPr>
        <w:t>汉阳区</w:t>
      </w:r>
      <w:r>
        <w:rPr>
          <w:rFonts w:hint="eastAsia" w:ascii="仿宋_GB2312" w:hAnsi="宋体" w:eastAsia="仿宋_GB2312" w:cs="仿宋_GB2312"/>
          <w:i w:val="0"/>
          <w:caps w:val="0"/>
          <w:color w:val="333333"/>
          <w:spacing w:val="0"/>
          <w:sz w:val="32"/>
          <w:szCs w:val="32"/>
          <w:shd w:val="clear" w:fill="FFFFFF"/>
          <w:lang w:val="en-US" w:eastAsia="zh-CN"/>
        </w:rPr>
        <w:t>琴断口街道办事处共受理人大政协议提案0件，已办结0件，满意率100%</w:t>
      </w:r>
      <w:r>
        <w:rPr>
          <w:rFonts w:hint="eastAsia" w:ascii="仿宋" w:hAnsi="仿宋" w:eastAsia="仿宋" w:cs="仿宋"/>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60" w:lineRule="exact"/>
        <w:jc w:val="both"/>
        <w:textAlignment w:val="auto"/>
        <w:rPr>
          <w:rFonts w:hint="default" w:ascii="仿宋_GB2312" w:hAnsi="宋体" w:eastAsia="仿宋_GB2312" w:cs="仿宋_GB2312"/>
          <w:b/>
          <w:bCs/>
          <w:i w:val="0"/>
          <w:caps w:val="0"/>
          <w:color w:val="333333"/>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spacing w:line="560" w:lineRule="exact"/>
        <w:ind w:left="642" w:leftChars="0"/>
        <w:jc w:val="both"/>
        <w:textAlignment w:val="auto"/>
        <w:rPr>
          <w:rFonts w:hint="eastAsia" w:ascii="仿宋_GB2312" w:hAnsi="宋体" w:eastAsia="仿宋_GB2312" w:cs="仿宋_GB2312"/>
          <w:b w:val="0"/>
          <w:bCs w:val="0"/>
          <w:i w:val="0"/>
          <w:caps w:val="0"/>
          <w:color w:val="333333"/>
          <w:spacing w:val="0"/>
          <w:sz w:val="32"/>
          <w:szCs w:val="32"/>
          <w:shd w:val="clear" w:fill="FFFFFF"/>
          <w:lang w:val="en-US" w:eastAsia="zh-CN"/>
        </w:rPr>
      </w:pPr>
      <w:r>
        <w:rPr>
          <w:rFonts w:hint="eastAsia" w:ascii="仿宋_GB2312" w:hAnsi="宋体" w:eastAsia="仿宋_GB2312" w:cs="仿宋_GB2312"/>
          <w:b/>
          <w:bCs/>
          <w:i w:val="0"/>
          <w:caps w:val="0"/>
          <w:color w:val="333333"/>
          <w:spacing w:val="0"/>
          <w:sz w:val="32"/>
          <w:szCs w:val="32"/>
          <w:shd w:val="clear" w:fill="FFFFFF"/>
          <w:lang w:val="en-US" w:eastAsia="zh-CN"/>
        </w:rPr>
        <w:t xml:space="preserve">                        </w:t>
      </w:r>
      <w:r>
        <w:rPr>
          <w:rFonts w:hint="eastAsia" w:ascii="仿宋_GB2312" w:hAnsi="宋体" w:eastAsia="仿宋_GB2312" w:cs="仿宋_GB2312"/>
          <w:b w:val="0"/>
          <w:bCs w:val="0"/>
          <w:i w:val="0"/>
          <w:caps w:val="0"/>
          <w:color w:val="333333"/>
          <w:spacing w:val="0"/>
          <w:sz w:val="32"/>
          <w:szCs w:val="32"/>
          <w:shd w:val="clear" w:fill="FFFFFF"/>
          <w:lang w:val="en-US" w:eastAsia="zh-CN"/>
        </w:rPr>
        <w:t xml:space="preserve">  </w:t>
      </w:r>
    </w:p>
    <w:p>
      <w:pPr>
        <w:keepNext w:val="0"/>
        <w:keepLines w:val="0"/>
        <w:pageBreakBefore w:val="0"/>
        <w:numPr>
          <w:ilvl w:val="0"/>
          <w:numId w:val="0"/>
        </w:numPr>
        <w:kinsoku/>
        <w:wordWrap/>
        <w:overflowPunct/>
        <w:topLinePunct w:val="0"/>
        <w:autoSpaceDE/>
        <w:autoSpaceDN/>
        <w:bidi w:val="0"/>
        <w:spacing w:line="560" w:lineRule="exact"/>
        <w:ind w:left="0" w:leftChars="0" w:firstLine="3200" w:firstLineChars="1000"/>
        <w:jc w:val="center"/>
        <w:textAlignment w:val="auto"/>
        <w:rPr>
          <w:rFonts w:hint="default" w:ascii="仿宋_GB2312" w:hAnsi="宋体" w:eastAsia="仿宋_GB2312" w:cs="仿宋_GB2312"/>
          <w:b w:val="0"/>
          <w:bCs w:val="0"/>
          <w:i w:val="0"/>
          <w:caps w:val="0"/>
          <w:color w:val="333333"/>
          <w:spacing w:val="0"/>
          <w:sz w:val="32"/>
          <w:szCs w:val="32"/>
          <w:shd w:val="clear" w:fill="FFFFFF"/>
          <w:lang w:val="en-US" w:eastAsia="zh-CN"/>
        </w:rPr>
      </w:pPr>
      <w:r>
        <w:rPr>
          <w:rFonts w:hint="eastAsia" w:ascii="仿宋_GB2312" w:hAnsi="宋体" w:eastAsia="仿宋_GB2312" w:cs="仿宋_GB2312"/>
          <w:b w:val="0"/>
          <w:bCs w:val="0"/>
          <w:i w:val="0"/>
          <w:caps w:val="0"/>
          <w:color w:val="333333"/>
          <w:spacing w:val="0"/>
          <w:sz w:val="32"/>
          <w:szCs w:val="32"/>
          <w:shd w:val="clear" w:fill="FFFFFF"/>
          <w:lang w:val="en-US" w:eastAsia="zh-CN"/>
        </w:rPr>
        <w:t>武汉市汉阳区琴断口街道办事处</w:t>
      </w:r>
    </w:p>
    <w:p>
      <w:pPr>
        <w:keepNext w:val="0"/>
        <w:keepLines w:val="0"/>
        <w:pageBreakBefore w:val="0"/>
        <w:numPr>
          <w:ilvl w:val="0"/>
          <w:numId w:val="0"/>
        </w:numPr>
        <w:kinsoku/>
        <w:wordWrap/>
        <w:overflowPunct/>
        <w:topLinePunct w:val="0"/>
        <w:autoSpaceDE/>
        <w:autoSpaceDN/>
        <w:bidi w:val="0"/>
        <w:spacing w:line="560" w:lineRule="exact"/>
        <w:ind w:left="0" w:leftChars="0" w:firstLine="3200" w:firstLineChars="1000"/>
        <w:jc w:val="center"/>
        <w:textAlignment w:val="auto"/>
        <w:rPr>
          <w:rFonts w:hint="default" w:ascii="仿宋_GB2312" w:hAnsi="宋体" w:eastAsia="仿宋_GB2312" w:cs="仿宋_GB2312"/>
          <w:b w:val="0"/>
          <w:bCs w:val="0"/>
          <w:i w:val="0"/>
          <w:caps w:val="0"/>
          <w:color w:val="333333"/>
          <w:spacing w:val="0"/>
          <w:sz w:val="32"/>
          <w:szCs w:val="32"/>
          <w:shd w:val="clear" w:fill="FFFFFF"/>
          <w:lang w:val="en-US" w:eastAsia="zh-CN"/>
        </w:rPr>
      </w:pPr>
      <w:r>
        <w:rPr>
          <w:rFonts w:hint="eastAsia" w:ascii="仿宋_GB2312" w:hAnsi="宋体" w:eastAsia="仿宋_GB2312" w:cs="仿宋_GB2312"/>
          <w:b w:val="0"/>
          <w:bCs w:val="0"/>
          <w:i w:val="0"/>
          <w:caps w:val="0"/>
          <w:color w:val="333333"/>
          <w:spacing w:val="0"/>
          <w:sz w:val="32"/>
          <w:szCs w:val="32"/>
          <w:shd w:val="clear" w:fill="FFFFFF"/>
          <w:lang w:val="en-US" w:eastAsia="zh-CN"/>
        </w:rPr>
        <w:t>2021年1月19日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cs="仿宋"/>
          <w:b w:val="0"/>
          <w:bCs w:val="0"/>
          <w:sz w:val="32"/>
          <w:szCs w:val="32"/>
          <w:lang w:val="en-US" w:eastAsia="zh-CN"/>
        </w:rPr>
      </w:pPr>
    </w:p>
    <w:sectPr>
      <w:pgSz w:w="11906" w:h="16838"/>
      <w:pgMar w:top="1417" w:right="1304" w:bottom="1417"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F205"/>
    <w:multiLevelType w:val="singleLevel"/>
    <w:tmpl w:val="0EBBF20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C0AD3"/>
    <w:rsid w:val="010C7EBB"/>
    <w:rsid w:val="0AF57BDD"/>
    <w:rsid w:val="150E6FA4"/>
    <w:rsid w:val="15F15B3F"/>
    <w:rsid w:val="18217522"/>
    <w:rsid w:val="18253476"/>
    <w:rsid w:val="188678B2"/>
    <w:rsid w:val="1AC62531"/>
    <w:rsid w:val="1DA00D46"/>
    <w:rsid w:val="20541C07"/>
    <w:rsid w:val="352F054B"/>
    <w:rsid w:val="3EE26EF1"/>
    <w:rsid w:val="48721890"/>
    <w:rsid w:val="49305D23"/>
    <w:rsid w:val="4C473091"/>
    <w:rsid w:val="4CF93541"/>
    <w:rsid w:val="4E410A99"/>
    <w:rsid w:val="508D6B41"/>
    <w:rsid w:val="53621B26"/>
    <w:rsid w:val="56A04DA2"/>
    <w:rsid w:val="576679F1"/>
    <w:rsid w:val="5AEA584D"/>
    <w:rsid w:val="5C224925"/>
    <w:rsid w:val="60C803C5"/>
    <w:rsid w:val="670C0AD3"/>
    <w:rsid w:val="6AB914D7"/>
    <w:rsid w:val="6ACA33C9"/>
    <w:rsid w:val="71DB3BBD"/>
    <w:rsid w:val="72B22790"/>
    <w:rsid w:val="731F301C"/>
    <w:rsid w:val="73416A72"/>
    <w:rsid w:val="7BE15AB8"/>
    <w:rsid w:val="7D366E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customStyle="1" w:styleId="6">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硚口区行政审批局</Company>
  <Pages>1</Pages>
  <Words>0</Words>
  <Characters>0</Characters>
  <Lines>0</Lines>
  <Paragraphs>0</Paragraphs>
  <TotalTime>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2020-12-09T03:48:00Z</dcterms:created>
  <dc:creator>张恒</dc:creator>
  <cp:lastModifiedBy>秋水长天</cp:lastModifiedBy>
  <cp:lastPrinted>2020-12-09T09:03:00Z</cp:lastPrinted>
  <dcterms:modified xsi:type="dcterms:W3CDTF">2021-01-20T02:41:40Z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